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76" w:rsidRDefault="00500176" w:rsidP="004E1474">
      <w:pPr>
        <w:ind w:left="6372"/>
        <w:rPr>
          <w:rFonts w:ascii="Times New Roman" w:hAnsi="Times New Roman"/>
          <w:color w:val="222222"/>
          <w:sz w:val="28"/>
          <w:szCs w:val="28"/>
          <w:lang w:eastAsia="pl-PL"/>
        </w:rPr>
      </w:pPr>
      <w:bookmarkStart w:id="0" w:name="_GoBack"/>
      <w:bookmarkEnd w:id="0"/>
      <w:r>
        <w:rPr>
          <w:rFonts w:ascii="Times New Roman" w:hAnsi="Times New Roman"/>
          <w:color w:val="222222"/>
          <w:sz w:val="28"/>
          <w:szCs w:val="28"/>
          <w:lang w:eastAsia="pl-PL"/>
        </w:rPr>
        <w:t xml:space="preserve">G20 </w:t>
      </w:r>
      <w:r w:rsidR="009A282F">
        <w:rPr>
          <w:rFonts w:ascii="Times New Roman" w:hAnsi="Times New Roman"/>
          <w:color w:val="222222"/>
          <w:sz w:val="28"/>
          <w:szCs w:val="28"/>
          <w:lang w:eastAsia="pl-PL"/>
        </w:rPr>
        <w:t>NIEMCY</w:t>
      </w:r>
      <w:r w:rsidR="004E1474">
        <w:rPr>
          <w:rFonts w:ascii="Times New Roman" w:hAnsi="Times New Roman"/>
          <w:color w:val="222222"/>
          <w:sz w:val="28"/>
          <w:szCs w:val="28"/>
          <w:lang w:eastAsia="pl-PL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lang w:eastAsia="pl-PL"/>
        </w:rPr>
        <w:t>2017</w:t>
      </w:r>
    </w:p>
    <w:p w:rsidR="009A282F" w:rsidRDefault="009A282F" w:rsidP="004E1474">
      <w:pPr>
        <w:ind w:left="6372"/>
        <w:rPr>
          <w:rFonts w:ascii="Times New Roman" w:hAnsi="Times New Roman"/>
          <w:color w:val="222222"/>
          <w:sz w:val="28"/>
          <w:szCs w:val="28"/>
          <w:lang w:eastAsia="pl-PL"/>
        </w:rPr>
      </w:pPr>
      <w:r>
        <w:rPr>
          <w:rFonts w:ascii="Times New Roman" w:hAnsi="Times New Roman"/>
          <w:color w:val="222222"/>
          <w:sz w:val="28"/>
          <w:szCs w:val="28"/>
          <w:lang w:eastAsia="pl-PL"/>
        </w:rPr>
        <w:t xml:space="preserve">        Hamburg</w:t>
      </w:r>
    </w:p>
    <w:p w:rsidR="00500176" w:rsidRDefault="00500176" w:rsidP="00500176">
      <w:pPr>
        <w:rPr>
          <w:rFonts w:ascii="Times New Roman" w:hAnsi="Times New Roman"/>
          <w:color w:val="222222"/>
          <w:sz w:val="28"/>
          <w:szCs w:val="28"/>
          <w:lang w:eastAsia="pl-PL"/>
        </w:rPr>
      </w:pPr>
    </w:p>
    <w:p w:rsidR="00500176" w:rsidRDefault="00500176" w:rsidP="00500176">
      <w:pPr>
        <w:rPr>
          <w:rFonts w:ascii="Times New Roman" w:hAnsi="Times New Roman"/>
          <w:color w:val="222222"/>
          <w:sz w:val="28"/>
          <w:szCs w:val="28"/>
          <w:lang w:eastAsia="pl-PL"/>
        </w:rPr>
      </w:pPr>
    </w:p>
    <w:p w:rsidR="00500176" w:rsidRDefault="00500176" w:rsidP="00500176">
      <w:pPr>
        <w:jc w:val="center"/>
        <w:rPr>
          <w:rFonts w:ascii="Times New Roman" w:hAnsi="Times New Roman"/>
          <w:color w:val="222222"/>
          <w:sz w:val="28"/>
          <w:szCs w:val="28"/>
          <w:lang w:eastAsia="pl-PL"/>
        </w:rPr>
      </w:pPr>
      <w:r>
        <w:rPr>
          <w:rFonts w:ascii="Times New Roman" w:hAnsi="Times New Roman"/>
          <w:color w:val="222222"/>
          <w:sz w:val="28"/>
          <w:szCs w:val="28"/>
          <w:lang w:eastAsia="pl-PL"/>
        </w:rPr>
        <w:t>Załącznik do deklaracji liderów G20</w:t>
      </w:r>
    </w:p>
    <w:p w:rsidR="00500176" w:rsidRDefault="00500176" w:rsidP="00500176">
      <w:pPr>
        <w:rPr>
          <w:rFonts w:ascii="Times New Roman" w:hAnsi="Times New Roman"/>
          <w:color w:val="222222"/>
          <w:sz w:val="28"/>
          <w:szCs w:val="28"/>
          <w:lang w:eastAsia="pl-PL"/>
        </w:rPr>
      </w:pPr>
    </w:p>
    <w:p w:rsidR="00500176" w:rsidRDefault="00500176" w:rsidP="00500176">
      <w:pPr>
        <w:jc w:val="center"/>
        <w:rPr>
          <w:rFonts w:ascii="Times New Roman" w:hAnsi="Times New Roman"/>
          <w:b/>
          <w:color w:val="222222"/>
          <w:sz w:val="28"/>
          <w:szCs w:val="28"/>
          <w:lang w:eastAsia="pl-PL"/>
        </w:rPr>
      </w:pPr>
      <w:r w:rsidRPr="00500176">
        <w:rPr>
          <w:rFonts w:ascii="Times New Roman" w:hAnsi="Times New Roman"/>
          <w:b/>
          <w:color w:val="222222"/>
          <w:sz w:val="28"/>
          <w:szCs w:val="28"/>
          <w:lang w:eastAsia="pl-PL"/>
        </w:rPr>
        <w:t xml:space="preserve">Najwyższe standardy G20 </w:t>
      </w:r>
      <w:r w:rsidRPr="00500176">
        <w:rPr>
          <w:rFonts w:ascii="Times New Roman" w:hAnsi="Times New Roman"/>
          <w:b/>
          <w:color w:val="222222"/>
          <w:sz w:val="28"/>
          <w:szCs w:val="28"/>
          <w:lang w:eastAsia="pl-PL"/>
        </w:rPr>
        <w:br/>
        <w:t>dotyczące odpowiedzialności osób prawnych za korupcję</w:t>
      </w:r>
    </w:p>
    <w:p w:rsidR="00500176" w:rsidRPr="00500176" w:rsidRDefault="00500176" w:rsidP="00500176">
      <w:pPr>
        <w:jc w:val="center"/>
        <w:rPr>
          <w:rFonts w:ascii="Times New Roman" w:hAnsi="Times New Roman"/>
          <w:color w:val="222222"/>
          <w:sz w:val="28"/>
          <w:szCs w:val="28"/>
          <w:lang w:eastAsia="pl-PL"/>
        </w:rPr>
      </w:pPr>
      <w:r w:rsidRPr="00500176">
        <w:rPr>
          <w:rFonts w:ascii="Times New Roman" w:hAnsi="Times New Roman"/>
          <w:color w:val="222222"/>
          <w:sz w:val="28"/>
          <w:szCs w:val="28"/>
          <w:lang w:eastAsia="pl-PL"/>
        </w:rPr>
        <w:t>(omówienie)</w:t>
      </w:r>
    </w:p>
    <w:p w:rsidR="00500176" w:rsidRPr="00500176" w:rsidRDefault="00500176" w:rsidP="00576E1D">
      <w:pPr>
        <w:rPr>
          <w:b/>
        </w:rPr>
      </w:pPr>
    </w:p>
    <w:p w:rsidR="00500176" w:rsidRDefault="00500176" w:rsidP="00576E1D"/>
    <w:p w:rsidR="00500176" w:rsidRPr="00D44CEB" w:rsidRDefault="00500176" w:rsidP="00576E1D">
      <w:pPr>
        <w:rPr>
          <w:rFonts w:asciiTheme="minorHAnsi" w:hAnsiTheme="minorHAnsi"/>
          <w:sz w:val="24"/>
          <w:szCs w:val="24"/>
        </w:rPr>
      </w:pPr>
    </w:p>
    <w:p w:rsidR="00576E1D" w:rsidRPr="00D44CEB" w:rsidRDefault="00576E1D" w:rsidP="00576E1D">
      <w:pPr>
        <w:rPr>
          <w:rFonts w:asciiTheme="minorHAnsi" w:hAnsiTheme="minorHAnsi"/>
          <w:sz w:val="24"/>
          <w:szCs w:val="24"/>
        </w:rPr>
      </w:pPr>
      <w:r w:rsidRPr="00D44CEB">
        <w:rPr>
          <w:rFonts w:asciiTheme="minorHAnsi" w:hAnsiTheme="minorHAnsi"/>
          <w:sz w:val="24"/>
          <w:szCs w:val="24"/>
        </w:rPr>
        <w:t>Stanowisko w zakresie modelu odpowiedzialności podmiotów zbiorowych przyjęła również grupa najbogatszych państw świata nazywana grupą G-20. Wprawdzie Pols</w:t>
      </w:r>
      <w:r w:rsidR="00500176" w:rsidRPr="00D44CEB">
        <w:rPr>
          <w:rFonts w:asciiTheme="minorHAnsi" w:hAnsiTheme="minorHAnsi"/>
          <w:sz w:val="24"/>
          <w:szCs w:val="24"/>
        </w:rPr>
        <w:t>ka nie jest członkiem tej grupy</w:t>
      </w:r>
      <w:r w:rsidRPr="00D44CEB">
        <w:rPr>
          <w:rFonts w:asciiTheme="minorHAnsi" w:hAnsiTheme="minorHAnsi"/>
          <w:sz w:val="24"/>
          <w:szCs w:val="24"/>
        </w:rPr>
        <w:t xml:space="preserve"> </w:t>
      </w:r>
      <w:r w:rsidR="00500176" w:rsidRPr="00D44CEB">
        <w:rPr>
          <w:rFonts w:asciiTheme="minorHAnsi" w:hAnsiTheme="minorHAnsi"/>
          <w:sz w:val="24"/>
          <w:szCs w:val="24"/>
        </w:rPr>
        <w:t>(</w:t>
      </w:r>
      <w:r w:rsidRPr="00D44CEB">
        <w:rPr>
          <w:rFonts w:asciiTheme="minorHAnsi" w:hAnsiTheme="minorHAnsi"/>
          <w:sz w:val="24"/>
          <w:szCs w:val="24"/>
        </w:rPr>
        <w:t>mimo takich aspiracji</w:t>
      </w:r>
      <w:r w:rsidR="00500176" w:rsidRPr="00D44CEB">
        <w:rPr>
          <w:rFonts w:asciiTheme="minorHAnsi" w:hAnsiTheme="minorHAnsi"/>
          <w:sz w:val="24"/>
          <w:szCs w:val="24"/>
        </w:rPr>
        <w:t>),</w:t>
      </w:r>
      <w:r w:rsidRPr="00D44CEB">
        <w:rPr>
          <w:rFonts w:asciiTheme="minorHAnsi" w:hAnsiTheme="minorHAnsi"/>
          <w:sz w:val="24"/>
          <w:szCs w:val="24"/>
        </w:rPr>
        <w:t xml:space="preserve"> ale członkiem jest Unia Europejska. Stanowisko to zostało przyjęte jako załącznik do deklaracji liderów tej gru</w:t>
      </w:r>
      <w:r w:rsidR="0072714F" w:rsidRPr="00D44CEB">
        <w:rPr>
          <w:rFonts w:asciiTheme="minorHAnsi" w:hAnsiTheme="minorHAnsi"/>
          <w:sz w:val="24"/>
          <w:szCs w:val="24"/>
        </w:rPr>
        <w:t>py na szczycie w Hamburgu</w:t>
      </w:r>
      <w:r w:rsidRPr="00D44CEB">
        <w:rPr>
          <w:rFonts w:asciiTheme="minorHAnsi" w:hAnsiTheme="minorHAnsi"/>
          <w:sz w:val="24"/>
          <w:szCs w:val="24"/>
        </w:rPr>
        <w:t xml:space="preserve"> </w:t>
      </w:r>
      <w:r w:rsidR="00D44CEB" w:rsidRPr="00D44CEB">
        <w:rPr>
          <w:rFonts w:asciiTheme="minorHAnsi" w:hAnsiTheme="minorHAnsi"/>
          <w:sz w:val="24"/>
          <w:szCs w:val="24"/>
        </w:rPr>
        <w:br/>
      </w:r>
      <w:r w:rsidRPr="00D44CEB">
        <w:rPr>
          <w:rFonts w:asciiTheme="minorHAnsi" w:hAnsiTheme="minorHAnsi"/>
          <w:sz w:val="24"/>
          <w:szCs w:val="24"/>
        </w:rPr>
        <w:t>8 lipca 2017 r</w:t>
      </w:r>
      <w:r w:rsidR="0072714F" w:rsidRPr="00D44CEB">
        <w:rPr>
          <w:rFonts w:asciiTheme="minorHAnsi" w:hAnsiTheme="minorHAnsi"/>
          <w:sz w:val="24"/>
          <w:szCs w:val="24"/>
        </w:rPr>
        <w:t>.</w:t>
      </w:r>
      <w:r w:rsidRPr="00D44CEB">
        <w:rPr>
          <w:rFonts w:asciiTheme="minorHAnsi" w:hAnsiTheme="minorHAnsi"/>
          <w:b/>
          <w:sz w:val="24"/>
          <w:szCs w:val="24"/>
        </w:rPr>
        <w:t xml:space="preserve"> </w:t>
      </w:r>
      <w:r w:rsidRPr="00D44CEB">
        <w:rPr>
          <w:rFonts w:asciiTheme="minorHAnsi" w:hAnsiTheme="minorHAnsi"/>
          <w:sz w:val="24"/>
          <w:szCs w:val="24"/>
        </w:rPr>
        <w:t xml:space="preserve">poświęconej odpowiedzialności osób prawnych za czyny korupcyjne.  </w:t>
      </w:r>
    </w:p>
    <w:p w:rsidR="00576E1D" w:rsidRPr="00D44CEB" w:rsidRDefault="00576E1D" w:rsidP="00576E1D">
      <w:pPr>
        <w:rPr>
          <w:rFonts w:asciiTheme="minorHAnsi" w:hAnsiTheme="minorHAnsi"/>
          <w:sz w:val="24"/>
          <w:szCs w:val="24"/>
        </w:rPr>
      </w:pPr>
    </w:p>
    <w:p w:rsidR="00576E1D" w:rsidRPr="00D44CEB" w:rsidRDefault="00576E1D" w:rsidP="00576E1D">
      <w:pPr>
        <w:rPr>
          <w:rFonts w:asciiTheme="minorHAnsi" w:hAnsiTheme="minorHAnsi"/>
          <w:sz w:val="24"/>
          <w:szCs w:val="24"/>
        </w:rPr>
      </w:pPr>
      <w:r w:rsidRPr="00D44CEB">
        <w:rPr>
          <w:rFonts w:asciiTheme="minorHAnsi" w:hAnsiTheme="minorHAnsi"/>
          <w:sz w:val="24"/>
          <w:szCs w:val="24"/>
        </w:rPr>
        <w:t>Przyjęta deklaracja jest zbiorem kierunkowych wytycznych, co do podstawowych elementów odpowiedzialności w stosunku do okreś</w:t>
      </w:r>
      <w:r w:rsidR="0072714F" w:rsidRPr="00D44CEB">
        <w:rPr>
          <w:rFonts w:asciiTheme="minorHAnsi" w:hAnsiTheme="minorHAnsi"/>
          <w:sz w:val="24"/>
          <w:szCs w:val="24"/>
        </w:rPr>
        <w:t xml:space="preserve">lonej kategorii przestępstw - </w:t>
      </w:r>
      <w:r w:rsidRPr="00D44CEB">
        <w:rPr>
          <w:rFonts w:asciiTheme="minorHAnsi" w:hAnsiTheme="minorHAnsi"/>
          <w:sz w:val="24"/>
          <w:szCs w:val="24"/>
        </w:rPr>
        <w:t>czynów korupcyjn</w:t>
      </w:r>
      <w:r w:rsidR="0072714F" w:rsidRPr="00D44CEB">
        <w:rPr>
          <w:rFonts w:asciiTheme="minorHAnsi" w:hAnsiTheme="minorHAnsi"/>
          <w:sz w:val="24"/>
          <w:szCs w:val="24"/>
        </w:rPr>
        <w:t xml:space="preserve">ych.  Nie jest to </w:t>
      </w:r>
      <w:r w:rsidRPr="00D44CEB">
        <w:rPr>
          <w:rFonts w:asciiTheme="minorHAnsi" w:hAnsiTheme="minorHAnsi"/>
          <w:sz w:val="24"/>
          <w:szCs w:val="24"/>
        </w:rPr>
        <w:t>doku</w:t>
      </w:r>
      <w:r w:rsidR="0072714F" w:rsidRPr="00D44CEB">
        <w:rPr>
          <w:rFonts w:asciiTheme="minorHAnsi" w:hAnsiTheme="minorHAnsi"/>
          <w:sz w:val="24"/>
          <w:szCs w:val="24"/>
        </w:rPr>
        <w:t>ment wiążący prawnie, ale bardzo istotny</w:t>
      </w:r>
      <w:r w:rsidRPr="00D44CEB">
        <w:rPr>
          <w:rFonts w:asciiTheme="minorHAnsi" w:hAnsiTheme="minorHAnsi"/>
          <w:sz w:val="24"/>
          <w:szCs w:val="24"/>
        </w:rPr>
        <w:t xml:space="preserve"> ze względu na znaczenie grupy najbardziej rozwiniętych państw świata. Ma on wyraźnie progresywny charakter, a wymienione</w:t>
      </w:r>
      <w:r w:rsidR="0072714F" w:rsidRPr="00D44CEB">
        <w:rPr>
          <w:rFonts w:asciiTheme="minorHAnsi" w:hAnsiTheme="minorHAnsi"/>
          <w:sz w:val="24"/>
          <w:szCs w:val="24"/>
        </w:rPr>
        <w:t xml:space="preserve"> w nim zasady odnoszą się do problemów,</w:t>
      </w:r>
      <w:r w:rsidRPr="00D44CEB">
        <w:rPr>
          <w:rFonts w:asciiTheme="minorHAnsi" w:hAnsiTheme="minorHAnsi"/>
          <w:sz w:val="24"/>
          <w:szCs w:val="24"/>
        </w:rPr>
        <w:t xml:space="preserve"> które pojawiły się w praktycznym stosowaniu różnych krajowych modeli odpowiedzialności podmiotów zbiorowych.</w:t>
      </w:r>
    </w:p>
    <w:p w:rsidR="00576E1D" w:rsidRPr="00D44CEB" w:rsidRDefault="00576E1D" w:rsidP="00576E1D">
      <w:pPr>
        <w:rPr>
          <w:rFonts w:asciiTheme="minorHAnsi" w:hAnsiTheme="minorHAnsi"/>
          <w:sz w:val="24"/>
          <w:szCs w:val="24"/>
        </w:rPr>
      </w:pPr>
    </w:p>
    <w:p w:rsidR="00576E1D" w:rsidRPr="00D44CEB" w:rsidRDefault="00576E1D" w:rsidP="00576E1D">
      <w:pPr>
        <w:rPr>
          <w:rFonts w:asciiTheme="minorHAnsi" w:hAnsiTheme="minorHAnsi"/>
          <w:sz w:val="24"/>
          <w:szCs w:val="24"/>
        </w:rPr>
      </w:pPr>
      <w:r w:rsidRPr="00D44CEB">
        <w:rPr>
          <w:rFonts w:asciiTheme="minorHAnsi" w:hAnsiTheme="minorHAnsi"/>
          <w:sz w:val="24"/>
          <w:szCs w:val="24"/>
        </w:rPr>
        <w:t>Asumpt do przyjęcia tak</w:t>
      </w:r>
      <w:r w:rsidR="0072714F" w:rsidRPr="00D44CEB">
        <w:rPr>
          <w:rFonts w:asciiTheme="minorHAnsi" w:hAnsiTheme="minorHAnsi"/>
          <w:sz w:val="24"/>
          <w:szCs w:val="24"/>
        </w:rPr>
        <w:t>ich zasad dały analizy dokonane</w:t>
      </w:r>
      <w:r w:rsidRPr="00D44CEB">
        <w:rPr>
          <w:rFonts w:asciiTheme="minorHAnsi" w:hAnsiTheme="minorHAnsi"/>
          <w:sz w:val="24"/>
          <w:szCs w:val="24"/>
        </w:rPr>
        <w:t xml:space="preserve"> przez grup</w:t>
      </w:r>
      <w:r w:rsidR="0072714F" w:rsidRPr="00D44CEB">
        <w:rPr>
          <w:rFonts w:asciiTheme="minorHAnsi" w:hAnsiTheme="minorHAnsi"/>
          <w:sz w:val="24"/>
          <w:szCs w:val="24"/>
        </w:rPr>
        <w:t xml:space="preserve">y robocze w ramach oceny przestrzegania </w:t>
      </w:r>
      <w:r w:rsidRPr="00D44CEB">
        <w:rPr>
          <w:rFonts w:asciiTheme="minorHAnsi" w:hAnsiTheme="minorHAnsi"/>
          <w:sz w:val="24"/>
          <w:szCs w:val="24"/>
        </w:rPr>
        <w:t xml:space="preserve"> konwencji ONZ przeciwko korupcji i konwencji OECD </w:t>
      </w:r>
      <w:r w:rsidR="004959EB">
        <w:rPr>
          <w:rFonts w:asciiTheme="minorHAnsi" w:hAnsiTheme="minorHAnsi"/>
          <w:sz w:val="24"/>
          <w:szCs w:val="24"/>
        </w:rPr>
        <w:t xml:space="preserve">(pol. Organizacja Współpracy Gospodarczej i Rozwoju) </w:t>
      </w:r>
      <w:r w:rsidRPr="00D44CEB">
        <w:rPr>
          <w:rFonts w:asciiTheme="minorHAnsi" w:hAnsiTheme="minorHAnsi"/>
          <w:sz w:val="24"/>
          <w:szCs w:val="24"/>
        </w:rPr>
        <w:t xml:space="preserve">o zwalczaniu przekupstwa zagranicznych funkcjonariuszy publicznych w międzynarodowych transakcjach handlowych. </w:t>
      </w:r>
    </w:p>
    <w:p w:rsidR="00576E1D" w:rsidRPr="00D44CEB" w:rsidRDefault="00576E1D" w:rsidP="00576E1D">
      <w:pPr>
        <w:rPr>
          <w:rFonts w:asciiTheme="minorHAnsi" w:hAnsiTheme="minorHAnsi"/>
          <w:sz w:val="24"/>
          <w:szCs w:val="24"/>
        </w:rPr>
      </w:pPr>
    </w:p>
    <w:p w:rsidR="00576E1D" w:rsidRPr="00D44CEB" w:rsidRDefault="00576E1D" w:rsidP="00576E1D">
      <w:pPr>
        <w:rPr>
          <w:rFonts w:asciiTheme="minorHAnsi" w:hAnsiTheme="minorHAnsi"/>
          <w:sz w:val="24"/>
          <w:szCs w:val="24"/>
        </w:rPr>
      </w:pPr>
      <w:r w:rsidRPr="00D44CEB">
        <w:rPr>
          <w:rFonts w:asciiTheme="minorHAnsi" w:hAnsiTheme="minorHAnsi"/>
          <w:sz w:val="24"/>
          <w:szCs w:val="24"/>
        </w:rPr>
        <w:t>Dokument przewiduje nast</w:t>
      </w:r>
      <w:r w:rsidR="0072714F" w:rsidRPr="00D44CEB">
        <w:rPr>
          <w:rFonts w:asciiTheme="minorHAnsi" w:hAnsiTheme="minorHAnsi"/>
          <w:sz w:val="24"/>
          <w:szCs w:val="24"/>
        </w:rPr>
        <w:t>ępujące zasady:</w:t>
      </w:r>
    </w:p>
    <w:p w:rsidR="00576E1D" w:rsidRPr="00D44CEB" w:rsidRDefault="00576E1D" w:rsidP="00576E1D">
      <w:pPr>
        <w:rPr>
          <w:rFonts w:asciiTheme="minorHAnsi" w:hAnsiTheme="minorHAnsi"/>
          <w:sz w:val="24"/>
          <w:szCs w:val="24"/>
        </w:rPr>
      </w:pPr>
    </w:p>
    <w:p w:rsidR="00576E1D" w:rsidRPr="00D44CEB" w:rsidRDefault="00576E1D" w:rsidP="00576E1D">
      <w:pPr>
        <w:pStyle w:val="Akapitzlist"/>
        <w:numPr>
          <w:ilvl w:val="0"/>
          <w:numId w:val="1"/>
        </w:numPr>
        <w:contextualSpacing w:val="0"/>
        <w:rPr>
          <w:rFonts w:asciiTheme="minorHAnsi" w:hAnsiTheme="minorHAnsi"/>
          <w:sz w:val="24"/>
          <w:szCs w:val="24"/>
        </w:rPr>
      </w:pPr>
      <w:r w:rsidRPr="00D44CEB">
        <w:rPr>
          <w:rFonts w:asciiTheme="minorHAnsi" w:hAnsiTheme="minorHAnsi"/>
          <w:sz w:val="24"/>
          <w:szCs w:val="24"/>
        </w:rPr>
        <w:t xml:space="preserve">Państwa powinny stworzyć skuteczny mechanizm odpowiedzialności podmiotów za przestępstwa korupcyjne zarówno o charakterze </w:t>
      </w:r>
      <w:r w:rsidR="0072714F" w:rsidRPr="00D44CEB">
        <w:rPr>
          <w:rFonts w:asciiTheme="minorHAnsi" w:hAnsiTheme="minorHAnsi"/>
          <w:sz w:val="24"/>
          <w:szCs w:val="24"/>
        </w:rPr>
        <w:t>krajowym jak i międzynarodowym;</w:t>
      </w:r>
    </w:p>
    <w:p w:rsidR="00576E1D" w:rsidRPr="00D44CEB" w:rsidRDefault="00576E1D" w:rsidP="00576E1D">
      <w:pPr>
        <w:pStyle w:val="Akapitzlist"/>
        <w:numPr>
          <w:ilvl w:val="0"/>
          <w:numId w:val="1"/>
        </w:numPr>
        <w:contextualSpacing w:val="0"/>
        <w:rPr>
          <w:rFonts w:asciiTheme="minorHAnsi" w:hAnsiTheme="minorHAnsi"/>
          <w:sz w:val="24"/>
          <w:szCs w:val="24"/>
        </w:rPr>
      </w:pPr>
      <w:r w:rsidRPr="00D44CEB">
        <w:rPr>
          <w:rFonts w:asciiTheme="minorHAnsi" w:hAnsiTheme="minorHAnsi"/>
          <w:sz w:val="24"/>
          <w:szCs w:val="24"/>
        </w:rPr>
        <w:t xml:space="preserve">Odpowiedzialność powinna obejmować wszystkie formy jednostek organizacyjnych, które mogą </w:t>
      </w:r>
      <w:r w:rsidR="0072714F" w:rsidRPr="00D44CEB">
        <w:rPr>
          <w:rFonts w:asciiTheme="minorHAnsi" w:hAnsiTheme="minorHAnsi"/>
          <w:sz w:val="24"/>
          <w:szCs w:val="24"/>
        </w:rPr>
        <w:t>być podmiotem praw i obowiązków;</w:t>
      </w:r>
    </w:p>
    <w:p w:rsidR="00576E1D" w:rsidRPr="00D44CEB" w:rsidRDefault="00576E1D" w:rsidP="00576E1D">
      <w:pPr>
        <w:pStyle w:val="Akapitzlist"/>
        <w:numPr>
          <w:ilvl w:val="0"/>
          <w:numId w:val="1"/>
        </w:numPr>
        <w:contextualSpacing w:val="0"/>
        <w:rPr>
          <w:rFonts w:asciiTheme="minorHAnsi" w:hAnsiTheme="minorHAnsi"/>
          <w:sz w:val="24"/>
          <w:szCs w:val="24"/>
        </w:rPr>
      </w:pPr>
      <w:r w:rsidRPr="00D44CEB">
        <w:rPr>
          <w:rFonts w:asciiTheme="minorHAnsi" w:hAnsiTheme="minorHAnsi"/>
          <w:sz w:val="24"/>
          <w:szCs w:val="24"/>
        </w:rPr>
        <w:t>Odpowiedzialność podmiotów nie powinna być zastrzeżona tylko d</w:t>
      </w:r>
      <w:r w:rsidR="001A5D39">
        <w:rPr>
          <w:rFonts w:asciiTheme="minorHAnsi" w:hAnsiTheme="minorHAnsi"/>
          <w:sz w:val="24"/>
          <w:szCs w:val="24"/>
        </w:rPr>
        <w:t>o</w:t>
      </w:r>
      <w:r w:rsidRPr="00D44CEB">
        <w:rPr>
          <w:rFonts w:asciiTheme="minorHAnsi" w:hAnsiTheme="minorHAnsi"/>
          <w:sz w:val="24"/>
          <w:szCs w:val="24"/>
        </w:rPr>
        <w:t xml:space="preserve"> tych sytuacji, w których osoba fizyczna będąca sprawcą jest ścigana lub oskarżona. W rozwinięciu tej zasad</w:t>
      </w:r>
      <w:r w:rsidR="001A5D39">
        <w:rPr>
          <w:rFonts w:asciiTheme="minorHAnsi" w:hAnsiTheme="minorHAnsi"/>
          <w:sz w:val="24"/>
          <w:szCs w:val="24"/>
        </w:rPr>
        <w:t>y</w:t>
      </w:r>
      <w:r w:rsidRPr="00D44CEB">
        <w:rPr>
          <w:rFonts w:asciiTheme="minorHAnsi" w:hAnsiTheme="minorHAnsi"/>
          <w:sz w:val="24"/>
          <w:szCs w:val="24"/>
        </w:rPr>
        <w:t xml:space="preserve"> znajduje się ponadto stwierdzenie, że odpowiedzialność ta nie powinna być uzależniona od wyników postępowania wobec osoby fizycznej, a więc rozwiązanie znaczni</w:t>
      </w:r>
      <w:r w:rsidR="0072714F" w:rsidRPr="00D44CEB">
        <w:rPr>
          <w:rFonts w:asciiTheme="minorHAnsi" w:hAnsiTheme="minorHAnsi"/>
          <w:sz w:val="24"/>
          <w:szCs w:val="24"/>
        </w:rPr>
        <w:t>e dalej idące;</w:t>
      </w:r>
    </w:p>
    <w:p w:rsidR="00576E1D" w:rsidRPr="00D44CEB" w:rsidRDefault="00576E1D" w:rsidP="00576E1D">
      <w:pPr>
        <w:pStyle w:val="Akapitzlist"/>
        <w:numPr>
          <w:ilvl w:val="0"/>
          <w:numId w:val="1"/>
        </w:numPr>
        <w:contextualSpacing w:val="0"/>
        <w:rPr>
          <w:rFonts w:asciiTheme="minorHAnsi" w:hAnsiTheme="minorHAnsi"/>
          <w:sz w:val="24"/>
          <w:szCs w:val="24"/>
        </w:rPr>
      </w:pPr>
      <w:r w:rsidRPr="00D44CEB">
        <w:rPr>
          <w:rFonts w:asciiTheme="minorHAnsi" w:hAnsiTheme="minorHAnsi"/>
          <w:sz w:val="24"/>
          <w:szCs w:val="24"/>
        </w:rPr>
        <w:t>Odpowiedzialność podmiotu nie powinna być zawężona tylko do s</w:t>
      </w:r>
      <w:r w:rsidR="001A5D39">
        <w:rPr>
          <w:rFonts w:asciiTheme="minorHAnsi" w:hAnsiTheme="minorHAnsi"/>
          <w:sz w:val="24"/>
          <w:szCs w:val="24"/>
        </w:rPr>
        <w:t xml:space="preserve">ytuacji, w których przestępstwo </w:t>
      </w:r>
      <w:r w:rsidRPr="00D44CEB">
        <w:rPr>
          <w:rFonts w:asciiTheme="minorHAnsi" w:hAnsiTheme="minorHAnsi"/>
          <w:sz w:val="24"/>
          <w:szCs w:val="24"/>
        </w:rPr>
        <w:t>popełnił członek wyższej kadry kierowniczej podmiotu zbiorowego. W rozwinięciu tej zasady znajduje się również stwierdzenie, że odpowiedzialność ta powinna być szeroka i elastyczna</w:t>
      </w:r>
      <w:r w:rsidR="0072714F" w:rsidRPr="00D44CEB">
        <w:rPr>
          <w:rFonts w:asciiTheme="minorHAnsi" w:hAnsiTheme="minorHAnsi"/>
          <w:sz w:val="24"/>
          <w:szCs w:val="24"/>
        </w:rPr>
        <w:t>,</w:t>
      </w:r>
      <w:r w:rsidRPr="00D44CEB">
        <w:rPr>
          <w:rFonts w:asciiTheme="minorHAnsi" w:hAnsiTheme="minorHAnsi"/>
          <w:sz w:val="24"/>
          <w:szCs w:val="24"/>
        </w:rPr>
        <w:t xml:space="preserve"> tak aby uwzględniać również sytuacje, w których personel zarządzający nie wykazał  właściwego nadzoru</w:t>
      </w:r>
      <w:r w:rsidR="0072714F" w:rsidRPr="00D44CEB">
        <w:rPr>
          <w:rFonts w:asciiTheme="minorHAnsi" w:hAnsiTheme="minorHAnsi"/>
          <w:sz w:val="24"/>
          <w:szCs w:val="24"/>
        </w:rPr>
        <w:t>,</w:t>
      </w:r>
      <w:r w:rsidRPr="00D44CEB">
        <w:rPr>
          <w:rFonts w:asciiTheme="minorHAnsi" w:hAnsiTheme="minorHAnsi"/>
          <w:sz w:val="24"/>
          <w:szCs w:val="24"/>
        </w:rPr>
        <w:t xml:space="preserve"> co umożliwiło lub ułatwiło </w:t>
      </w:r>
      <w:r w:rsidRPr="00D44CEB">
        <w:rPr>
          <w:rFonts w:asciiTheme="minorHAnsi" w:hAnsiTheme="minorHAnsi"/>
          <w:sz w:val="24"/>
          <w:szCs w:val="24"/>
        </w:rPr>
        <w:lastRenderedPageBreak/>
        <w:t>popełnienie przestępstwa. Państwa mogą określić właściwe standardy kontroli i nadzoru</w:t>
      </w:r>
      <w:r w:rsidR="0072714F" w:rsidRPr="00D44CEB">
        <w:rPr>
          <w:rFonts w:asciiTheme="minorHAnsi" w:hAnsiTheme="minorHAnsi"/>
          <w:sz w:val="24"/>
          <w:szCs w:val="24"/>
        </w:rPr>
        <w:t>,</w:t>
      </w:r>
      <w:r w:rsidRPr="00D44CEB">
        <w:rPr>
          <w:rFonts w:asciiTheme="minorHAnsi" w:hAnsiTheme="minorHAnsi"/>
          <w:sz w:val="24"/>
          <w:szCs w:val="24"/>
        </w:rPr>
        <w:t xml:space="preserve"> jakie mają wprowadzić podmioty zbioro</w:t>
      </w:r>
      <w:r w:rsidR="0072714F" w:rsidRPr="00D44CEB">
        <w:rPr>
          <w:rFonts w:asciiTheme="minorHAnsi" w:hAnsiTheme="minorHAnsi"/>
          <w:sz w:val="24"/>
          <w:szCs w:val="24"/>
        </w:rPr>
        <w:t>we;</w:t>
      </w:r>
      <w:r w:rsidRPr="00D44CEB">
        <w:rPr>
          <w:rFonts w:asciiTheme="minorHAnsi" w:hAnsiTheme="minorHAnsi"/>
          <w:sz w:val="24"/>
          <w:szCs w:val="24"/>
        </w:rPr>
        <w:t xml:space="preserve">  </w:t>
      </w:r>
    </w:p>
    <w:p w:rsidR="00576E1D" w:rsidRPr="00D44CEB" w:rsidRDefault="00576E1D" w:rsidP="00576E1D">
      <w:pPr>
        <w:pStyle w:val="Akapitzlist"/>
        <w:numPr>
          <w:ilvl w:val="0"/>
          <w:numId w:val="1"/>
        </w:numPr>
        <w:contextualSpacing w:val="0"/>
        <w:rPr>
          <w:rFonts w:asciiTheme="minorHAnsi" w:hAnsiTheme="minorHAnsi"/>
          <w:sz w:val="24"/>
          <w:szCs w:val="24"/>
        </w:rPr>
      </w:pPr>
      <w:r w:rsidRPr="00D44CEB">
        <w:rPr>
          <w:rFonts w:asciiTheme="minorHAnsi" w:hAnsiTheme="minorHAnsi"/>
          <w:sz w:val="24"/>
          <w:szCs w:val="24"/>
        </w:rPr>
        <w:t>Podmioty zbiorowe nie powinny mieć możliwości uniknięcia odpowiedzialności poprzez wykorzystanie konstrukcji pośredników</w:t>
      </w:r>
      <w:r w:rsidR="0072714F" w:rsidRPr="00D44CEB">
        <w:rPr>
          <w:rFonts w:asciiTheme="minorHAnsi" w:hAnsiTheme="minorHAnsi"/>
          <w:sz w:val="24"/>
          <w:szCs w:val="24"/>
        </w:rPr>
        <w:t>,</w:t>
      </w:r>
      <w:r w:rsidRPr="00D44CEB">
        <w:rPr>
          <w:rFonts w:asciiTheme="minorHAnsi" w:hAnsiTheme="minorHAnsi"/>
          <w:sz w:val="24"/>
          <w:szCs w:val="24"/>
        </w:rPr>
        <w:t xml:space="preserve"> w tym działając na swój rachunek poprzez inne podmioty. W rozwinięciu wskazano, że dotyczy to zarówno podmiotów powiązanych kapitałowo</w:t>
      </w:r>
      <w:r w:rsidR="0072714F" w:rsidRPr="00D44CEB">
        <w:rPr>
          <w:rFonts w:asciiTheme="minorHAnsi" w:hAnsiTheme="minorHAnsi"/>
          <w:sz w:val="24"/>
          <w:szCs w:val="24"/>
        </w:rPr>
        <w:t xml:space="preserve"> jak i podmiotów niepowiązanych;</w:t>
      </w:r>
    </w:p>
    <w:p w:rsidR="00576E1D" w:rsidRPr="00D44CEB" w:rsidRDefault="00576E1D" w:rsidP="00576E1D">
      <w:pPr>
        <w:pStyle w:val="Akapitzlist"/>
        <w:numPr>
          <w:ilvl w:val="0"/>
          <w:numId w:val="1"/>
        </w:numPr>
        <w:contextualSpacing w:val="0"/>
        <w:rPr>
          <w:rFonts w:asciiTheme="minorHAnsi" w:hAnsiTheme="minorHAnsi"/>
          <w:sz w:val="24"/>
          <w:szCs w:val="24"/>
        </w:rPr>
      </w:pPr>
      <w:r w:rsidRPr="00D44CEB">
        <w:rPr>
          <w:rFonts w:asciiTheme="minorHAnsi" w:hAnsiTheme="minorHAnsi"/>
          <w:sz w:val="24"/>
          <w:szCs w:val="24"/>
        </w:rPr>
        <w:t>Zmiana formy lub przekształcenie podmiotu zbiorowego nie powinna dawać możliwości uc</w:t>
      </w:r>
      <w:r w:rsidR="0072714F" w:rsidRPr="00D44CEB">
        <w:rPr>
          <w:rFonts w:asciiTheme="minorHAnsi" w:hAnsiTheme="minorHAnsi"/>
          <w:sz w:val="24"/>
          <w:szCs w:val="24"/>
        </w:rPr>
        <w:t>ieczki przed odpowiedzialnością;</w:t>
      </w:r>
    </w:p>
    <w:p w:rsidR="00576E1D" w:rsidRPr="00D44CEB" w:rsidRDefault="00576E1D" w:rsidP="00576E1D">
      <w:pPr>
        <w:pStyle w:val="Akapitzlist"/>
        <w:numPr>
          <w:ilvl w:val="0"/>
          <w:numId w:val="1"/>
        </w:numPr>
        <w:contextualSpacing w:val="0"/>
        <w:rPr>
          <w:rFonts w:asciiTheme="minorHAnsi" w:hAnsiTheme="minorHAnsi"/>
          <w:sz w:val="24"/>
          <w:szCs w:val="24"/>
        </w:rPr>
      </w:pPr>
      <w:r w:rsidRPr="00D44CEB">
        <w:rPr>
          <w:rFonts w:asciiTheme="minorHAnsi" w:hAnsiTheme="minorHAnsi"/>
          <w:sz w:val="24"/>
          <w:szCs w:val="24"/>
        </w:rPr>
        <w:t>Państwa powinny ustanowić skuteczną jurysdykcję ścigania podmiotów zbiorowych w ramach ustanowionej odpowiedzialności. Łącznik obywatelstwa podmiotu powinien być w takich przypadkach określany przez miejsce siedziby</w:t>
      </w:r>
      <w:r w:rsidR="0072714F" w:rsidRPr="00D44CEB">
        <w:rPr>
          <w:rFonts w:asciiTheme="minorHAnsi" w:hAnsiTheme="minorHAnsi"/>
          <w:sz w:val="24"/>
          <w:szCs w:val="24"/>
        </w:rPr>
        <w:t xml:space="preserve"> lub miejsce powstania podmiotu;</w:t>
      </w:r>
    </w:p>
    <w:p w:rsidR="00576E1D" w:rsidRPr="00D44CEB" w:rsidRDefault="00576E1D" w:rsidP="00576E1D">
      <w:pPr>
        <w:pStyle w:val="Akapitzlist"/>
        <w:numPr>
          <w:ilvl w:val="0"/>
          <w:numId w:val="1"/>
        </w:numPr>
        <w:contextualSpacing w:val="0"/>
        <w:rPr>
          <w:rFonts w:asciiTheme="minorHAnsi" w:hAnsiTheme="minorHAnsi"/>
          <w:sz w:val="24"/>
          <w:szCs w:val="24"/>
        </w:rPr>
      </w:pPr>
      <w:r w:rsidRPr="00D44CEB">
        <w:rPr>
          <w:rFonts w:asciiTheme="minorHAnsi" w:hAnsiTheme="minorHAnsi"/>
          <w:sz w:val="24"/>
          <w:szCs w:val="24"/>
        </w:rPr>
        <w:t>W ramach odpowiedzialności powinny być przewidziane skuteczne, proporcjonalne i odstraszające sankcje. Z rozwinięcia tej zasady wynika, że w ramach procedur stosowanych wobec podmiotów zbiorowych może być szeroko wykorzystywany mechanizm zawierania ugód kończących postępowanie. Państwa powinny rozważyć na ile elementy tych</w:t>
      </w:r>
      <w:r w:rsidR="00D44CEB" w:rsidRPr="00D44CEB">
        <w:rPr>
          <w:rFonts w:asciiTheme="minorHAnsi" w:hAnsiTheme="minorHAnsi"/>
          <w:sz w:val="24"/>
          <w:szCs w:val="24"/>
        </w:rPr>
        <w:t xml:space="preserve"> ugód powinny być upubliczniane;</w:t>
      </w:r>
      <w:r w:rsidRPr="00D44CEB">
        <w:rPr>
          <w:rFonts w:asciiTheme="minorHAnsi" w:hAnsiTheme="minorHAnsi"/>
          <w:sz w:val="24"/>
          <w:szCs w:val="24"/>
        </w:rPr>
        <w:t xml:space="preserve">   </w:t>
      </w:r>
    </w:p>
    <w:p w:rsidR="00576E1D" w:rsidRPr="00D44CEB" w:rsidRDefault="00576E1D" w:rsidP="00576E1D">
      <w:pPr>
        <w:pStyle w:val="Akapitzlist"/>
        <w:numPr>
          <w:ilvl w:val="0"/>
          <w:numId w:val="1"/>
        </w:numPr>
        <w:contextualSpacing w:val="0"/>
        <w:rPr>
          <w:rFonts w:asciiTheme="minorHAnsi" w:hAnsiTheme="minorHAnsi"/>
          <w:sz w:val="24"/>
          <w:szCs w:val="24"/>
        </w:rPr>
      </w:pPr>
      <w:r w:rsidRPr="00D44CEB">
        <w:rPr>
          <w:rFonts w:asciiTheme="minorHAnsi" w:hAnsiTheme="minorHAnsi"/>
          <w:sz w:val="24"/>
          <w:szCs w:val="24"/>
        </w:rPr>
        <w:t>Wręczone łapówki i korzyści przestępstwa powinny być przedmiotem zajęcia i przepadku lub możliwe powinno być zastosowanie sankcji finansowych, któ</w:t>
      </w:r>
      <w:r w:rsidR="00D44CEB" w:rsidRPr="00D44CEB">
        <w:rPr>
          <w:rFonts w:asciiTheme="minorHAnsi" w:hAnsiTheme="minorHAnsi"/>
          <w:sz w:val="24"/>
          <w:szCs w:val="24"/>
        </w:rPr>
        <w:t>re przyniosą porównywalny efekt;</w:t>
      </w:r>
      <w:r w:rsidRPr="00D44CEB">
        <w:rPr>
          <w:rFonts w:asciiTheme="minorHAnsi" w:hAnsiTheme="minorHAnsi"/>
          <w:sz w:val="24"/>
          <w:szCs w:val="24"/>
        </w:rPr>
        <w:t xml:space="preserve"> </w:t>
      </w:r>
    </w:p>
    <w:p w:rsidR="00576E1D" w:rsidRPr="00D44CEB" w:rsidRDefault="00576E1D" w:rsidP="00576E1D">
      <w:pPr>
        <w:pStyle w:val="Akapitzlist"/>
        <w:numPr>
          <w:ilvl w:val="0"/>
          <w:numId w:val="1"/>
        </w:numPr>
        <w:contextualSpacing w:val="0"/>
        <w:rPr>
          <w:rFonts w:asciiTheme="minorHAnsi" w:hAnsiTheme="minorHAnsi"/>
          <w:sz w:val="24"/>
          <w:szCs w:val="24"/>
        </w:rPr>
      </w:pPr>
      <w:r w:rsidRPr="00D44CEB">
        <w:rPr>
          <w:rFonts w:asciiTheme="minorHAnsi" w:hAnsiTheme="minorHAnsi"/>
          <w:sz w:val="24"/>
          <w:szCs w:val="24"/>
        </w:rPr>
        <w:t>Państwa powinny rozważyć wprowadzanie również innych dodatkowych środków wobec podmiotów zbiorowych. W rozwinięciu tej zasady wskazano, że środkami takimi mogą być zawieszenie lub wyłączenie z uzyskania pomocy publicznej lub przywilejów, czasowe lub stałe wyłączenie z zamówień publicznych, zakaz wykonywania określonej działalności, sądowy nadzór lub sądowe rozwiązanie podmiotu oraz podanie wyroku do publicznej wiadomości. O środkach tych powinien decydować sąd lub inny organ publiczny</w:t>
      </w:r>
      <w:r w:rsidR="00D44CEB" w:rsidRPr="00D44CEB">
        <w:rPr>
          <w:rFonts w:asciiTheme="minorHAnsi" w:hAnsiTheme="minorHAnsi"/>
          <w:sz w:val="24"/>
          <w:szCs w:val="24"/>
        </w:rPr>
        <w:t>;</w:t>
      </w:r>
      <w:r w:rsidRPr="00D44CEB">
        <w:rPr>
          <w:rFonts w:asciiTheme="minorHAnsi" w:hAnsiTheme="minorHAnsi"/>
          <w:sz w:val="24"/>
          <w:szCs w:val="24"/>
        </w:rPr>
        <w:t xml:space="preserve"> </w:t>
      </w:r>
    </w:p>
    <w:p w:rsidR="00576E1D" w:rsidRPr="00D44CEB" w:rsidRDefault="00576E1D" w:rsidP="00576E1D">
      <w:pPr>
        <w:pStyle w:val="Akapitzlist"/>
        <w:numPr>
          <w:ilvl w:val="0"/>
          <w:numId w:val="1"/>
        </w:numPr>
        <w:contextualSpacing w:val="0"/>
        <w:rPr>
          <w:rFonts w:asciiTheme="minorHAnsi" w:hAnsiTheme="minorHAnsi"/>
          <w:sz w:val="24"/>
          <w:szCs w:val="24"/>
        </w:rPr>
      </w:pPr>
      <w:r w:rsidRPr="00D44CEB">
        <w:rPr>
          <w:rFonts w:asciiTheme="minorHAnsi" w:hAnsiTheme="minorHAnsi"/>
          <w:sz w:val="24"/>
          <w:szCs w:val="24"/>
        </w:rPr>
        <w:t xml:space="preserve">Państwa powinny udzielać sobie wzajemnie pomocy prawnej w zakresie prowadzonych postępowań dotyczących odpowiedzialności podmiotów zbiorowych </w:t>
      </w:r>
      <w:r w:rsidR="00D44CEB" w:rsidRPr="00D44CEB">
        <w:rPr>
          <w:rFonts w:asciiTheme="minorHAnsi" w:hAnsiTheme="minorHAnsi"/>
          <w:sz w:val="24"/>
          <w:szCs w:val="24"/>
        </w:rPr>
        <w:t>w najszerszym możliwym zakresie;</w:t>
      </w:r>
      <w:r w:rsidRPr="00D44CEB">
        <w:rPr>
          <w:rFonts w:asciiTheme="minorHAnsi" w:hAnsiTheme="minorHAnsi"/>
          <w:sz w:val="24"/>
          <w:szCs w:val="24"/>
        </w:rPr>
        <w:t xml:space="preserve"> </w:t>
      </w:r>
    </w:p>
    <w:p w:rsidR="00576E1D" w:rsidRPr="00D44CEB" w:rsidRDefault="00576E1D" w:rsidP="00576E1D">
      <w:pPr>
        <w:pStyle w:val="Akapitzlist"/>
        <w:numPr>
          <w:ilvl w:val="0"/>
          <w:numId w:val="1"/>
        </w:numPr>
        <w:contextualSpacing w:val="0"/>
        <w:rPr>
          <w:rFonts w:asciiTheme="minorHAnsi" w:hAnsiTheme="minorHAnsi"/>
          <w:sz w:val="24"/>
          <w:szCs w:val="24"/>
        </w:rPr>
      </w:pPr>
      <w:r w:rsidRPr="00D44CEB">
        <w:rPr>
          <w:rFonts w:asciiTheme="minorHAnsi" w:hAnsiTheme="minorHAnsi"/>
          <w:sz w:val="24"/>
          <w:szCs w:val="24"/>
        </w:rPr>
        <w:t>W przypadkach</w:t>
      </w:r>
      <w:r w:rsidR="00D44CEB" w:rsidRPr="00D44CEB">
        <w:rPr>
          <w:rFonts w:asciiTheme="minorHAnsi" w:hAnsiTheme="minorHAnsi"/>
          <w:sz w:val="24"/>
          <w:szCs w:val="24"/>
        </w:rPr>
        <w:t>,</w:t>
      </w:r>
      <w:r w:rsidRPr="00D44CEB">
        <w:rPr>
          <w:rFonts w:asciiTheme="minorHAnsi" w:hAnsiTheme="minorHAnsi"/>
          <w:sz w:val="24"/>
          <w:szCs w:val="24"/>
        </w:rPr>
        <w:t xml:space="preserve"> w których więcej niż jedno państwo sprawuje jurysdykcję państwa powinny konsult</w:t>
      </w:r>
      <w:r w:rsidR="00D44CEB" w:rsidRPr="00D44CEB">
        <w:rPr>
          <w:rFonts w:asciiTheme="minorHAnsi" w:hAnsiTheme="minorHAnsi"/>
          <w:sz w:val="24"/>
          <w:szCs w:val="24"/>
        </w:rPr>
        <w:t>ować ze sobą wzajemnie ściganie;</w:t>
      </w:r>
      <w:r w:rsidRPr="00D44CEB">
        <w:rPr>
          <w:rFonts w:asciiTheme="minorHAnsi" w:hAnsiTheme="minorHAnsi"/>
          <w:sz w:val="24"/>
          <w:szCs w:val="24"/>
        </w:rPr>
        <w:t xml:space="preserve"> </w:t>
      </w:r>
    </w:p>
    <w:p w:rsidR="00576E1D" w:rsidRPr="00D44CEB" w:rsidRDefault="00576E1D" w:rsidP="00576E1D">
      <w:pPr>
        <w:pStyle w:val="Akapitzlist"/>
        <w:numPr>
          <w:ilvl w:val="0"/>
          <w:numId w:val="1"/>
        </w:numPr>
        <w:contextualSpacing w:val="0"/>
        <w:rPr>
          <w:rFonts w:asciiTheme="minorHAnsi" w:hAnsiTheme="minorHAnsi"/>
          <w:sz w:val="24"/>
          <w:szCs w:val="24"/>
        </w:rPr>
      </w:pPr>
      <w:r w:rsidRPr="00D44CEB">
        <w:rPr>
          <w:rFonts w:asciiTheme="minorHAnsi" w:hAnsiTheme="minorHAnsi"/>
          <w:sz w:val="24"/>
          <w:szCs w:val="24"/>
        </w:rPr>
        <w:t xml:space="preserve">Państwa powinny wspierać rozwój efektywnych wewnętrznych programów kontroli, standardów etyki lub procedur </w:t>
      </w:r>
      <w:proofErr w:type="spellStart"/>
      <w:r w:rsidRPr="00D44CEB">
        <w:rPr>
          <w:rFonts w:asciiTheme="minorHAnsi" w:hAnsiTheme="minorHAnsi"/>
          <w:sz w:val="24"/>
          <w:szCs w:val="24"/>
        </w:rPr>
        <w:t>compliance</w:t>
      </w:r>
      <w:proofErr w:type="spellEnd"/>
      <w:r w:rsidR="00D44CEB" w:rsidRPr="00D44CEB">
        <w:rPr>
          <w:rFonts w:asciiTheme="minorHAnsi" w:hAnsiTheme="minorHAnsi"/>
          <w:sz w:val="24"/>
          <w:szCs w:val="24"/>
        </w:rPr>
        <w:t xml:space="preserve"> (</w:t>
      </w:r>
      <w:r w:rsidR="00D44CEB" w:rsidRPr="00D44CEB">
        <w:rPr>
          <w:rFonts w:asciiTheme="minorHAnsi" w:hAnsiTheme="minorHAnsi" w:cs="Tahoma"/>
          <w:color w:val="363636"/>
          <w:sz w:val="24"/>
          <w:szCs w:val="24"/>
        </w:rPr>
        <w:t xml:space="preserve">system kontroli zgodności z prawem) </w:t>
      </w:r>
      <w:r w:rsidRPr="00D44CEB">
        <w:rPr>
          <w:rFonts w:asciiTheme="minorHAnsi" w:hAnsiTheme="minorHAnsi"/>
          <w:sz w:val="24"/>
          <w:szCs w:val="24"/>
        </w:rPr>
        <w:t xml:space="preserve"> lub innych środków</w:t>
      </w:r>
      <w:r w:rsidR="00D44CEB" w:rsidRPr="00D44CEB">
        <w:rPr>
          <w:rFonts w:asciiTheme="minorHAnsi" w:hAnsiTheme="minorHAnsi"/>
          <w:sz w:val="24"/>
          <w:szCs w:val="24"/>
        </w:rPr>
        <w:t>,</w:t>
      </w:r>
      <w:r w:rsidRPr="00D44CEB">
        <w:rPr>
          <w:rFonts w:asciiTheme="minorHAnsi" w:hAnsiTheme="minorHAnsi"/>
          <w:sz w:val="24"/>
          <w:szCs w:val="24"/>
        </w:rPr>
        <w:t xml:space="preserve"> które mają zapewniać zapobie</w:t>
      </w:r>
      <w:r w:rsidR="00D44CEB" w:rsidRPr="00D44CEB">
        <w:rPr>
          <w:rFonts w:asciiTheme="minorHAnsi" w:hAnsiTheme="minorHAnsi"/>
          <w:sz w:val="24"/>
          <w:szCs w:val="24"/>
        </w:rPr>
        <w:t>ganie lub wykrycie przestępstwa;</w:t>
      </w:r>
      <w:r w:rsidRPr="00D44CEB">
        <w:rPr>
          <w:rFonts w:asciiTheme="minorHAnsi" w:hAnsiTheme="minorHAnsi"/>
          <w:sz w:val="24"/>
          <w:szCs w:val="24"/>
        </w:rPr>
        <w:t xml:space="preserve">  </w:t>
      </w:r>
    </w:p>
    <w:p w:rsidR="00576E1D" w:rsidRPr="00D44CEB" w:rsidRDefault="00576E1D" w:rsidP="00576E1D">
      <w:pPr>
        <w:pStyle w:val="Akapitzlist"/>
        <w:numPr>
          <w:ilvl w:val="0"/>
          <w:numId w:val="1"/>
        </w:numPr>
        <w:contextualSpacing w:val="0"/>
        <w:rPr>
          <w:rFonts w:asciiTheme="minorHAnsi" w:hAnsiTheme="minorHAnsi"/>
          <w:sz w:val="24"/>
          <w:szCs w:val="24"/>
        </w:rPr>
      </w:pPr>
      <w:r w:rsidRPr="00D44CEB">
        <w:rPr>
          <w:rFonts w:asciiTheme="minorHAnsi" w:hAnsiTheme="minorHAnsi"/>
          <w:sz w:val="24"/>
          <w:szCs w:val="24"/>
        </w:rPr>
        <w:t xml:space="preserve">Państwa powinny zapewniać realne zachęty do stosowania przez podmioty zbiorowe procedur </w:t>
      </w:r>
      <w:proofErr w:type="spellStart"/>
      <w:r w:rsidRPr="00D44CEB">
        <w:rPr>
          <w:rFonts w:asciiTheme="minorHAnsi" w:hAnsiTheme="minorHAnsi"/>
          <w:sz w:val="24"/>
          <w:szCs w:val="24"/>
        </w:rPr>
        <w:t>compliance</w:t>
      </w:r>
      <w:proofErr w:type="spellEnd"/>
      <w:r w:rsidRPr="00D44CEB">
        <w:rPr>
          <w:rFonts w:asciiTheme="minorHAnsi" w:hAnsiTheme="minorHAnsi"/>
          <w:sz w:val="24"/>
          <w:szCs w:val="24"/>
        </w:rPr>
        <w:t>.</w:t>
      </w:r>
    </w:p>
    <w:p w:rsidR="00576E1D" w:rsidRDefault="00576E1D" w:rsidP="00576E1D"/>
    <w:p w:rsidR="00B36EE2" w:rsidRDefault="00B36EE2"/>
    <w:sectPr w:rsidR="00B36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92B17"/>
    <w:multiLevelType w:val="hybridMultilevel"/>
    <w:tmpl w:val="47C27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1D"/>
    <w:rsid w:val="00194E70"/>
    <w:rsid w:val="001A5D39"/>
    <w:rsid w:val="004432F1"/>
    <w:rsid w:val="004959EB"/>
    <w:rsid w:val="004C6508"/>
    <w:rsid w:val="004E1474"/>
    <w:rsid w:val="00500176"/>
    <w:rsid w:val="00576E1D"/>
    <w:rsid w:val="006F0C2C"/>
    <w:rsid w:val="0072361E"/>
    <w:rsid w:val="0072714F"/>
    <w:rsid w:val="009A282F"/>
    <w:rsid w:val="00AA0CDB"/>
    <w:rsid w:val="00B36EE2"/>
    <w:rsid w:val="00D44CEB"/>
    <w:rsid w:val="00D7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E1D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6F0C2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6F0C2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6F0C2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6F0C2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6F0C2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6F0C2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6F0C2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6F0C2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6F0C2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0C2C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Tytuksiki">
    <w:name w:val="Book Title"/>
    <w:uiPriority w:val="33"/>
    <w:qFormat/>
    <w:rsid w:val="006F0C2C"/>
    <w:rPr>
      <w:i/>
      <w:iCs/>
      <w:smallCaps/>
      <w:spacing w:val="5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432F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432F1"/>
    <w:rPr>
      <w:rFonts w:ascii="Consolas" w:hAnsi="Consolas" w:cs="Calibri"/>
      <w:color w:val="000000"/>
      <w:sz w:val="21"/>
      <w:szCs w:val="21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0C2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0C2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0C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0C2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0C2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0C2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0C2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0C2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6F0C2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0C2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6F0C2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F0C2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locked/>
    <w:rsid w:val="006F0C2C"/>
    <w:rPr>
      <w:b/>
      <w:bCs/>
    </w:rPr>
  </w:style>
  <w:style w:type="character" w:styleId="Uwydatnienie">
    <w:name w:val="Emphasis"/>
    <w:uiPriority w:val="20"/>
    <w:qFormat/>
    <w:locked/>
    <w:rsid w:val="006F0C2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F0C2C"/>
  </w:style>
  <w:style w:type="paragraph" w:styleId="Akapitzlist">
    <w:name w:val="List Paragraph"/>
    <w:basedOn w:val="Normalny"/>
    <w:uiPriority w:val="34"/>
    <w:qFormat/>
    <w:rsid w:val="006F0C2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F0C2C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F0C2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0C2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0C2C"/>
    <w:rPr>
      <w:b/>
      <w:bCs/>
      <w:i/>
      <w:iCs/>
    </w:rPr>
  </w:style>
  <w:style w:type="character" w:styleId="Wyrnieniedelikatne">
    <w:name w:val="Subtle Emphasis"/>
    <w:uiPriority w:val="19"/>
    <w:qFormat/>
    <w:rsid w:val="006F0C2C"/>
    <w:rPr>
      <w:i/>
      <w:iCs/>
    </w:rPr>
  </w:style>
  <w:style w:type="character" w:styleId="Wyrnienieintensywne">
    <w:name w:val="Intense Emphasis"/>
    <w:uiPriority w:val="21"/>
    <w:qFormat/>
    <w:rsid w:val="006F0C2C"/>
    <w:rPr>
      <w:b/>
      <w:bCs/>
    </w:rPr>
  </w:style>
  <w:style w:type="character" w:styleId="Odwoaniedelikatne">
    <w:name w:val="Subtle Reference"/>
    <w:uiPriority w:val="31"/>
    <w:qFormat/>
    <w:rsid w:val="006F0C2C"/>
    <w:rPr>
      <w:smallCaps/>
    </w:rPr>
  </w:style>
  <w:style w:type="character" w:styleId="Odwoanieintensywne">
    <w:name w:val="Intense Reference"/>
    <w:uiPriority w:val="32"/>
    <w:qFormat/>
    <w:rsid w:val="006F0C2C"/>
    <w:rPr>
      <w:smallCaps/>
      <w:spacing w:val="5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F0C2C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E1D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6F0C2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6F0C2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6F0C2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6F0C2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6F0C2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6F0C2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6F0C2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6F0C2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6F0C2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0C2C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Tytuksiki">
    <w:name w:val="Book Title"/>
    <w:uiPriority w:val="33"/>
    <w:qFormat/>
    <w:rsid w:val="006F0C2C"/>
    <w:rPr>
      <w:i/>
      <w:iCs/>
      <w:smallCaps/>
      <w:spacing w:val="5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432F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432F1"/>
    <w:rPr>
      <w:rFonts w:ascii="Consolas" w:hAnsi="Consolas" w:cs="Calibri"/>
      <w:color w:val="000000"/>
      <w:sz w:val="21"/>
      <w:szCs w:val="21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0C2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0C2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0C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0C2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0C2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0C2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0C2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0C2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6F0C2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0C2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6F0C2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F0C2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locked/>
    <w:rsid w:val="006F0C2C"/>
    <w:rPr>
      <w:b/>
      <w:bCs/>
    </w:rPr>
  </w:style>
  <w:style w:type="character" w:styleId="Uwydatnienie">
    <w:name w:val="Emphasis"/>
    <w:uiPriority w:val="20"/>
    <w:qFormat/>
    <w:locked/>
    <w:rsid w:val="006F0C2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F0C2C"/>
  </w:style>
  <w:style w:type="paragraph" w:styleId="Akapitzlist">
    <w:name w:val="List Paragraph"/>
    <w:basedOn w:val="Normalny"/>
    <w:uiPriority w:val="34"/>
    <w:qFormat/>
    <w:rsid w:val="006F0C2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F0C2C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F0C2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0C2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0C2C"/>
    <w:rPr>
      <w:b/>
      <w:bCs/>
      <w:i/>
      <w:iCs/>
    </w:rPr>
  </w:style>
  <w:style w:type="character" w:styleId="Wyrnieniedelikatne">
    <w:name w:val="Subtle Emphasis"/>
    <w:uiPriority w:val="19"/>
    <w:qFormat/>
    <w:rsid w:val="006F0C2C"/>
    <w:rPr>
      <w:i/>
      <w:iCs/>
    </w:rPr>
  </w:style>
  <w:style w:type="character" w:styleId="Wyrnienieintensywne">
    <w:name w:val="Intense Emphasis"/>
    <w:uiPriority w:val="21"/>
    <w:qFormat/>
    <w:rsid w:val="006F0C2C"/>
    <w:rPr>
      <w:b/>
      <w:bCs/>
    </w:rPr>
  </w:style>
  <w:style w:type="character" w:styleId="Odwoaniedelikatne">
    <w:name w:val="Subtle Reference"/>
    <w:uiPriority w:val="31"/>
    <w:qFormat/>
    <w:rsid w:val="006F0C2C"/>
    <w:rPr>
      <w:smallCaps/>
    </w:rPr>
  </w:style>
  <w:style w:type="character" w:styleId="Odwoanieintensywne">
    <w:name w:val="Intense Reference"/>
    <w:uiPriority w:val="32"/>
    <w:qFormat/>
    <w:rsid w:val="006F0C2C"/>
    <w:rPr>
      <w:smallCaps/>
      <w:spacing w:val="5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F0C2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0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Domachowska Milena  (BM)</cp:lastModifiedBy>
  <cp:revision>2</cp:revision>
  <cp:lastPrinted>2019-01-08T10:11:00Z</cp:lastPrinted>
  <dcterms:created xsi:type="dcterms:W3CDTF">2019-01-08T11:50:00Z</dcterms:created>
  <dcterms:modified xsi:type="dcterms:W3CDTF">2019-01-08T11:50:00Z</dcterms:modified>
</cp:coreProperties>
</file>