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03" w:rsidRDefault="001E5303" w:rsidP="00533B52">
      <w:pPr>
        <w:spacing w:after="0" w:line="240" w:lineRule="auto"/>
        <w:jc w:val="center"/>
        <w:rPr>
          <w:rFonts w:ascii="Times New Roman" w:hAnsi="Times New Roman"/>
          <w:b/>
        </w:rPr>
      </w:pPr>
      <w:r w:rsidRPr="004961B5">
        <w:rPr>
          <w:rFonts w:ascii="Times New Roman" w:hAnsi="Times New Roman"/>
          <w:b/>
        </w:rPr>
        <w:object w:dxaOrig="4275"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0.5pt" o:ole="" fillcolor="window">
            <v:imagedata r:id="rId7" o:title=""/>
          </v:shape>
          <o:OLEObject Type="Embed" ProgID="Word.Picture.8" ShapeID="_x0000_i1025" DrawAspect="Content" ObjectID="_1396344427" r:id="rId8"/>
        </w:object>
      </w:r>
    </w:p>
    <w:p w:rsidR="001E5303" w:rsidRPr="00070DDE" w:rsidRDefault="001E5303" w:rsidP="00070DD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2"/>
      </w:tblGrid>
      <w:tr w:rsidR="001E5303" w:rsidRPr="0038553B" w:rsidTr="004961B5">
        <w:trPr>
          <w:cantSplit/>
        </w:trPr>
        <w:tc>
          <w:tcPr>
            <w:tcW w:w="9212"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spacing w:after="0" w:line="240" w:lineRule="auto"/>
              <w:jc w:val="center"/>
              <w:rPr>
                <w:rFonts w:ascii="Times New Roman" w:hAnsi="Times New Roman"/>
                <w:b/>
                <w:smallCaps/>
                <w:sz w:val="36"/>
              </w:rPr>
            </w:pPr>
            <w:r>
              <w:rPr>
                <w:rFonts w:ascii="Times New Roman" w:hAnsi="Times New Roman"/>
              </w:rPr>
              <w:tab/>
            </w:r>
            <w:r>
              <w:rPr>
                <w:rFonts w:ascii="Times New Roman" w:hAnsi="Times New Roman"/>
                <w:b/>
                <w:smallCaps/>
                <w:sz w:val="36"/>
              </w:rPr>
              <w:t>Stanowisko</w:t>
            </w:r>
            <w:r w:rsidRPr="0038553B">
              <w:rPr>
                <w:rFonts w:ascii="Times New Roman" w:hAnsi="Times New Roman"/>
                <w:b/>
                <w:smallCaps/>
                <w:sz w:val="36"/>
              </w:rPr>
              <w:t xml:space="preserve"> RP</w:t>
            </w:r>
          </w:p>
          <w:p w:rsidR="001E5303" w:rsidRPr="0038553B" w:rsidRDefault="001E5303" w:rsidP="004961B5">
            <w:pPr>
              <w:pStyle w:val="Heading3"/>
              <w:shd w:val="pct12" w:color="auto" w:fill="FFFFFF"/>
              <w:spacing w:before="0" w:after="0"/>
              <w:jc w:val="center"/>
              <w:rPr>
                <w:rFonts w:ascii="Times New Roman" w:hAnsi="Times New Roman"/>
                <w:b/>
                <w:smallCaps/>
              </w:rPr>
            </w:pPr>
          </w:p>
          <w:p w:rsidR="001E5303" w:rsidRPr="0038553B" w:rsidRDefault="001E5303" w:rsidP="004961B5">
            <w:pPr>
              <w:spacing w:after="0" w:line="240" w:lineRule="auto"/>
              <w:jc w:val="center"/>
              <w:rPr>
                <w:rFonts w:ascii="Times New Roman" w:hAnsi="Times New Roman"/>
                <w:i/>
              </w:rPr>
            </w:pPr>
            <w:r w:rsidRPr="0038553B">
              <w:rPr>
                <w:rFonts w:ascii="Times New Roman" w:hAnsi="Times New Roman"/>
                <w:i/>
              </w:rPr>
              <w:t xml:space="preserve">przygotowany w związku z art. 7 ustawy z dnia 8 października 2010 r. </w:t>
            </w:r>
          </w:p>
          <w:p w:rsidR="001E5303" w:rsidRPr="0038553B" w:rsidRDefault="001E5303" w:rsidP="004961B5">
            <w:pPr>
              <w:spacing w:after="0" w:line="240" w:lineRule="auto"/>
              <w:jc w:val="center"/>
              <w:rPr>
                <w:rFonts w:ascii="Times New Roman" w:hAnsi="Times New Roman"/>
                <w:i/>
              </w:rPr>
            </w:pPr>
            <w:r w:rsidRPr="0038553B">
              <w:rPr>
                <w:rFonts w:ascii="Times New Roman" w:hAnsi="Times New Roman"/>
                <w:i/>
              </w:rPr>
              <w:t>o współpracy Rady Ministrów z Sejmem i Senatem w sprawach związanych z członkostwem Rzeczypospolitej Polskiej w Unii Europejskiej (Dz. U. Nr 213, poz. 1395)</w:t>
            </w:r>
          </w:p>
          <w:p w:rsidR="001E5303" w:rsidRPr="0038553B" w:rsidRDefault="001E5303" w:rsidP="004961B5">
            <w:pPr>
              <w:spacing w:after="0" w:line="240" w:lineRule="auto"/>
              <w:jc w:val="center"/>
              <w:rPr>
                <w:rFonts w:ascii="Times New Roman" w:hAnsi="Times New Roman"/>
                <w:i/>
              </w:rPr>
            </w:pPr>
          </w:p>
        </w:tc>
      </w:tr>
    </w:tbl>
    <w:p w:rsidR="001E5303" w:rsidRPr="0038553B" w:rsidRDefault="001E5303" w:rsidP="004961B5">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07"/>
      </w:tblGrid>
      <w:tr w:rsidR="001E5303" w:rsidRPr="0038553B" w:rsidTr="004961B5">
        <w:tc>
          <w:tcPr>
            <w:tcW w:w="2905"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spacing w:after="0" w:line="240" w:lineRule="auto"/>
              <w:rPr>
                <w:rFonts w:ascii="Times New Roman" w:hAnsi="Times New Roman"/>
                <w:sz w:val="26"/>
              </w:rPr>
            </w:pPr>
            <w:r w:rsidRPr="0038553B">
              <w:rPr>
                <w:rFonts w:ascii="Times New Roman" w:hAnsi="Times New Roman"/>
                <w:b/>
                <w:sz w:val="26"/>
              </w:rPr>
              <w:t>Dotyczy</w:t>
            </w:r>
          </w:p>
        </w:tc>
        <w:tc>
          <w:tcPr>
            <w:tcW w:w="6307" w:type="dxa"/>
            <w:tcBorders>
              <w:top w:val="single" w:sz="12" w:space="0" w:color="auto"/>
              <w:left w:val="single" w:sz="12" w:space="0" w:color="auto"/>
              <w:bottom w:val="single" w:sz="12" w:space="0" w:color="auto"/>
              <w:right w:val="single" w:sz="12" w:space="0" w:color="auto"/>
            </w:tcBorders>
          </w:tcPr>
          <w:p w:rsidR="001E5303" w:rsidRPr="0038553B" w:rsidRDefault="001E5303" w:rsidP="004961B5">
            <w:pPr>
              <w:spacing w:after="0" w:line="240" w:lineRule="auto"/>
              <w:jc w:val="both"/>
              <w:rPr>
                <w:rFonts w:ascii="Times New Roman" w:hAnsi="Times New Roman"/>
              </w:rPr>
            </w:pPr>
            <w:r>
              <w:rPr>
                <w:rFonts w:ascii="Times New Roman" w:hAnsi="Times New Roman"/>
                <w:sz w:val="26"/>
              </w:rPr>
              <w:t>Wniosek ROZPORZĄDZENIE RADY w sprawie statutu fundacji europejskiej (FE)</w:t>
            </w:r>
          </w:p>
        </w:tc>
      </w:tr>
    </w:tbl>
    <w:p w:rsidR="001E5303" w:rsidRPr="0038553B" w:rsidRDefault="001E5303" w:rsidP="004961B5">
      <w:pPr>
        <w:spacing w:after="0" w:line="240" w:lineRule="auto"/>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07"/>
      </w:tblGrid>
      <w:tr w:rsidR="001E5303" w:rsidRPr="0038553B" w:rsidTr="004961B5">
        <w:tc>
          <w:tcPr>
            <w:tcW w:w="2905"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spacing w:after="0" w:line="240" w:lineRule="auto"/>
              <w:rPr>
                <w:rFonts w:ascii="Times New Roman" w:hAnsi="Times New Roman"/>
                <w:sz w:val="26"/>
              </w:rPr>
            </w:pPr>
            <w:r w:rsidRPr="0038553B">
              <w:rPr>
                <w:rFonts w:ascii="Times New Roman" w:hAnsi="Times New Roman"/>
                <w:b/>
                <w:sz w:val="26"/>
              </w:rPr>
              <w:t>Data przekazania Polsce dokumentu przez instytucje UE</w:t>
            </w:r>
          </w:p>
        </w:tc>
        <w:tc>
          <w:tcPr>
            <w:tcW w:w="6307" w:type="dxa"/>
            <w:tcBorders>
              <w:top w:val="single" w:sz="12" w:space="0" w:color="auto"/>
              <w:left w:val="single" w:sz="12" w:space="0" w:color="auto"/>
              <w:bottom w:val="single" w:sz="12" w:space="0" w:color="auto"/>
              <w:right w:val="single" w:sz="12" w:space="0" w:color="auto"/>
            </w:tcBorders>
            <w:vAlign w:val="center"/>
          </w:tcPr>
          <w:p w:rsidR="001E5303" w:rsidRPr="0038553B" w:rsidRDefault="001E5303" w:rsidP="004961B5">
            <w:pPr>
              <w:spacing w:after="0" w:line="240" w:lineRule="auto"/>
              <w:rPr>
                <w:rFonts w:ascii="Times New Roman" w:hAnsi="Times New Roman"/>
                <w:sz w:val="26"/>
              </w:rPr>
            </w:pPr>
            <w:r>
              <w:rPr>
                <w:rFonts w:ascii="Times New Roman" w:hAnsi="Times New Roman"/>
                <w:sz w:val="26"/>
              </w:rPr>
              <w:t>13 lutego 2012 r.</w:t>
            </w:r>
          </w:p>
        </w:tc>
      </w:tr>
    </w:tbl>
    <w:p w:rsidR="001E5303" w:rsidRPr="0038553B" w:rsidRDefault="001E5303" w:rsidP="004961B5">
      <w:pPr>
        <w:spacing w:after="0" w:line="240" w:lineRule="auto"/>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3402"/>
        <w:gridCol w:w="2905"/>
      </w:tblGrid>
      <w:tr w:rsidR="001E5303" w:rsidRPr="0038553B" w:rsidTr="004961B5">
        <w:trPr>
          <w:cantSplit/>
        </w:trPr>
        <w:tc>
          <w:tcPr>
            <w:tcW w:w="2905" w:type="dxa"/>
            <w:vMerge w:val="restart"/>
            <w:tcBorders>
              <w:top w:val="single" w:sz="12" w:space="0" w:color="auto"/>
              <w:left w:val="single" w:sz="12" w:space="0" w:color="auto"/>
              <w:bottom w:val="nil"/>
              <w:right w:val="nil"/>
            </w:tcBorders>
            <w:shd w:val="pct12" w:color="auto" w:fill="FFFFFF"/>
            <w:vAlign w:val="center"/>
          </w:tcPr>
          <w:p w:rsidR="001E5303" w:rsidRPr="0038553B" w:rsidRDefault="001E5303" w:rsidP="004961B5">
            <w:pPr>
              <w:spacing w:after="0" w:line="240" w:lineRule="auto"/>
              <w:rPr>
                <w:rFonts w:ascii="Times New Roman" w:hAnsi="Times New Roman"/>
                <w:b/>
                <w:sz w:val="26"/>
              </w:rPr>
            </w:pPr>
            <w:r w:rsidRPr="0038553B">
              <w:rPr>
                <w:rFonts w:ascii="Times New Roman" w:hAnsi="Times New Roman"/>
                <w:b/>
                <w:sz w:val="26"/>
              </w:rPr>
              <w:t>Sygnatura dokumentu</w:t>
            </w:r>
          </w:p>
        </w:tc>
        <w:tc>
          <w:tcPr>
            <w:tcW w:w="3402" w:type="dxa"/>
            <w:tcBorders>
              <w:top w:val="single" w:sz="12" w:space="0" w:color="auto"/>
              <w:left w:val="single" w:sz="12" w:space="0" w:color="auto"/>
              <w:bottom w:val="single" w:sz="12" w:space="0" w:color="auto"/>
              <w:right w:val="single" w:sz="12" w:space="0" w:color="auto"/>
            </w:tcBorders>
            <w:vAlign w:val="center"/>
          </w:tcPr>
          <w:p w:rsidR="001E5303" w:rsidRPr="0038553B" w:rsidRDefault="001E5303" w:rsidP="004961B5">
            <w:pPr>
              <w:spacing w:after="0" w:line="240" w:lineRule="auto"/>
              <w:rPr>
                <w:rFonts w:ascii="Times New Roman" w:hAnsi="Times New Roman"/>
                <w:sz w:val="26"/>
              </w:rPr>
            </w:pPr>
            <w:r w:rsidRPr="0038553B">
              <w:rPr>
                <w:rFonts w:ascii="Times New Roman" w:hAnsi="Times New Roman"/>
                <w:sz w:val="26"/>
              </w:rPr>
              <w:t>Komisja Europejska</w:t>
            </w:r>
          </w:p>
        </w:tc>
        <w:tc>
          <w:tcPr>
            <w:tcW w:w="2905" w:type="dxa"/>
            <w:tcBorders>
              <w:top w:val="single" w:sz="12" w:space="0" w:color="auto"/>
              <w:left w:val="nil"/>
              <w:bottom w:val="single" w:sz="12" w:space="0" w:color="auto"/>
              <w:right w:val="single" w:sz="12" w:space="0" w:color="auto"/>
            </w:tcBorders>
            <w:vAlign w:val="center"/>
          </w:tcPr>
          <w:p w:rsidR="001E5303" w:rsidRPr="0038553B" w:rsidRDefault="001E5303" w:rsidP="004961B5">
            <w:pPr>
              <w:spacing w:after="0" w:line="240" w:lineRule="auto"/>
              <w:rPr>
                <w:rFonts w:ascii="Times New Roman" w:hAnsi="Times New Roman"/>
                <w:sz w:val="26"/>
              </w:rPr>
            </w:pPr>
            <w:r>
              <w:rPr>
                <w:rFonts w:ascii="Times New Roman" w:hAnsi="Times New Roman"/>
                <w:sz w:val="26"/>
              </w:rPr>
              <w:t>COM(2012) 035</w:t>
            </w:r>
          </w:p>
        </w:tc>
      </w:tr>
      <w:tr w:rsidR="001E5303" w:rsidRPr="0038553B" w:rsidTr="004961B5">
        <w:trPr>
          <w:cantSplit/>
        </w:trPr>
        <w:tc>
          <w:tcPr>
            <w:tcW w:w="2905" w:type="dxa"/>
            <w:vMerge/>
            <w:tcBorders>
              <w:top w:val="nil"/>
              <w:left w:val="single" w:sz="12" w:space="0" w:color="auto"/>
              <w:bottom w:val="single" w:sz="12" w:space="0" w:color="auto"/>
              <w:right w:val="nil"/>
            </w:tcBorders>
            <w:shd w:val="pct12" w:color="auto" w:fill="FFFFFF"/>
            <w:vAlign w:val="center"/>
          </w:tcPr>
          <w:p w:rsidR="001E5303" w:rsidRPr="0038553B" w:rsidRDefault="001E5303" w:rsidP="004961B5">
            <w:pPr>
              <w:spacing w:after="0" w:line="240" w:lineRule="auto"/>
              <w:rPr>
                <w:rFonts w:ascii="Times New Roman" w:hAnsi="Times New Roman"/>
                <w:b/>
                <w:sz w:val="26"/>
              </w:rPr>
            </w:pPr>
          </w:p>
        </w:tc>
        <w:tc>
          <w:tcPr>
            <w:tcW w:w="3402" w:type="dxa"/>
            <w:tcBorders>
              <w:top w:val="single" w:sz="12" w:space="0" w:color="auto"/>
              <w:left w:val="single" w:sz="12" w:space="0" w:color="auto"/>
              <w:bottom w:val="single" w:sz="12" w:space="0" w:color="auto"/>
              <w:right w:val="single" w:sz="12" w:space="0" w:color="auto"/>
            </w:tcBorders>
            <w:vAlign w:val="center"/>
          </w:tcPr>
          <w:p w:rsidR="001E5303" w:rsidRPr="0038553B" w:rsidRDefault="001E5303" w:rsidP="004961B5">
            <w:pPr>
              <w:spacing w:after="0" w:line="240" w:lineRule="auto"/>
              <w:rPr>
                <w:rFonts w:ascii="Times New Roman" w:hAnsi="Times New Roman"/>
                <w:sz w:val="26"/>
              </w:rPr>
            </w:pPr>
            <w:r w:rsidRPr="0038553B">
              <w:rPr>
                <w:rFonts w:ascii="Times New Roman" w:hAnsi="Times New Roman"/>
                <w:sz w:val="26"/>
              </w:rPr>
              <w:t>Numer międzyinstytucjonalny</w:t>
            </w:r>
          </w:p>
        </w:tc>
        <w:tc>
          <w:tcPr>
            <w:tcW w:w="2905" w:type="dxa"/>
            <w:tcBorders>
              <w:top w:val="single" w:sz="12" w:space="0" w:color="auto"/>
              <w:left w:val="nil"/>
              <w:bottom w:val="single" w:sz="12" w:space="0" w:color="auto"/>
              <w:right w:val="single" w:sz="12" w:space="0" w:color="auto"/>
            </w:tcBorders>
            <w:vAlign w:val="center"/>
          </w:tcPr>
          <w:p w:rsidR="001E5303" w:rsidRPr="0038553B" w:rsidRDefault="001E5303" w:rsidP="004961B5">
            <w:pPr>
              <w:spacing w:after="0" w:line="240" w:lineRule="auto"/>
              <w:rPr>
                <w:rFonts w:ascii="Times New Roman" w:hAnsi="Times New Roman"/>
                <w:sz w:val="26"/>
              </w:rPr>
            </w:pPr>
            <w:r>
              <w:rPr>
                <w:rFonts w:ascii="Times New Roman" w:hAnsi="Times New Roman"/>
                <w:sz w:val="26"/>
              </w:rPr>
              <w:t>2012/0022 (APP)</w:t>
            </w:r>
          </w:p>
        </w:tc>
      </w:tr>
    </w:tbl>
    <w:p w:rsidR="001E5303" w:rsidRPr="0038553B" w:rsidRDefault="001E5303" w:rsidP="004961B5">
      <w:pPr>
        <w:spacing w:after="0" w:line="240" w:lineRule="auto"/>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07"/>
      </w:tblGrid>
      <w:tr w:rsidR="001E5303" w:rsidRPr="0038553B" w:rsidTr="004961B5">
        <w:trPr>
          <w:trHeight w:val="466"/>
        </w:trPr>
        <w:tc>
          <w:tcPr>
            <w:tcW w:w="2905"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spacing w:after="0" w:line="240" w:lineRule="auto"/>
              <w:rPr>
                <w:rFonts w:ascii="Times New Roman" w:hAnsi="Times New Roman"/>
                <w:b/>
                <w:sz w:val="26"/>
              </w:rPr>
            </w:pPr>
            <w:r w:rsidRPr="0038553B">
              <w:rPr>
                <w:rFonts w:ascii="Times New Roman" w:hAnsi="Times New Roman"/>
                <w:b/>
                <w:sz w:val="26"/>
              </w:rPr>
              <w:t>Procedura decyzyjna</w:t>
            </w:r>
          </w:p>
        </w:tc>
        <w:tc>
          <w:tcPr>
            <w:tcW w:w="6307" w:type="dxa"/>
            <w:tcBorders>
              <w:top w:val="single" w:sz="12" w:space="0" w:color="auto"/>
              <w:left w:val="single" w:sz="12" w:space="0" w:color="auto"/>
              <w:bottom w:val="single" w:sz="12" w:space="0" w:color="auto"/>
              <w:right w:val="single" w:sz="12" w:space="0" w:color="auto"/>
            </w:tcBorders>
            <w:vAlign w:val="center"/>
          </w:tcPr>
          <w:p w:rsidR="001E5303" w:rsidRPr="0038553B" w:rsidRDefault="001E5303" w:rsidP="004961B5">
            <w:pPr>
              <w:spacing w:after="0" w:line="240" w:lineRule="auto"/>
              <w:rPr>
                <w:rFonts w:ascii="Times New Roman" w:hAnsi="Times New Roman"/>
                <w:sz w:val="26"/>
              </w:rPr>
            </w:pPr>
            <w:r>
              <w:rPr>
                <w:rFonts w:ascii="Times New Roman" w:hAnsi="Times New Roman"/>
                <w:sz w:val="26"/>
              </w:rPr>
              <w:t>specjalna procedura ustawodawcza - zgoda PE</w:t>
            </w:r>
          </w:p>
        </w:tc>
      </w:tr>
    </w:tbl>
    <w:p w:rsidR="001E5303" w:rsidRPr="0038553B" w:rsidRDefault="001E5303" w:rsidP="004961B5">
      <w:pPr>
        <w:spacing w:after="0" w:line="240" w:lineRule="auto"/>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07"/>
      </w:tblGrid>
      <w:tr w:rsidR="001E5303" w:rsidRPr="0038553B" w:rsidTr="004961B5">
        <w:tc>
          <w:tcPr>
            <w:tcW w:w="2905"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spacing w:after="0" w:line="240" w:lineRule="auto"/>
              <w:rPr>
                <w:rFonts w:ascii="Times New Roman" w:hAnsi="Times New Roman"/>
                <w:b/>
                <w:sz w:val="26"/>
              </w:rPr>
            </w:pPr>
            <w:r w:rsidRPr="0038553B">
              <w:rPr>
                <w:rFonts w:ascii="Times New Roman" w:hAnsi="Times New Roman"/>
                <w:b/>
                <w:sz w:val="26"/>
              </w:rPr>
              <w:t>Tryb głosowania w Radzie UE</w:t>
            </w:r>
          </w:p>
        </w:tc>
        <w:tc>
          <w:tcPr>
            <w:tcW w:w="6307" w:type="dxa"/>
            <w:tcBorders>
              <w:top w:val="single" w:sz="12" w:space="0" w:color="auto"/>
              <w:left w:val="single" w:sz="12" w:space="0" w:color="auto"/>
              <w:bottom w:val="single" w:sz="12" w:space="0" w:color="auto"/>
              <w:right w:val="single" w:sz="12" w:space="0" w:color="auto"/>
            </w:tcBorders>
            <w:vAlign w:val="center"/>
          </w:tcPr>
          <w:p w:rsidR="001E5303" w:rsidRPr="00432A84" w:rsidRDefault="001E5303" w:rsidP="004961B5">
            <w:pPr>
              <w:spacing w:after="0" w:line="240" w:lineRule="auto"/>
              <w:rPr>
                <w:rFonts w:ascii="Times New Roman" w:hAnsi="Times New Roman"/>
                <w:sz w:val="26"/>
                <w:szCs w:val="26"/>
              </w:rPr>
            </w:pPr>
            <w:r w:rsidRPr="00432A84">
              <w:rPr>
                <w:rFonts w:ascii="Times New Roman" w:hAnsi="Times New Roman"/>
                <w:sz w:val="26"/>
                <w:szCs w:val="26"/>
              </w:rPr>
              <w:t>Jednomyślność</w:t>
            </w:r>
          </w:p>
        </w:tc>
      </w:tr>
    </w:tbl>
    <w:p w:rsidR="001E5303" w:rsidRPr="0038553B" w:rsidRDefault="001E5303" w:rsidP="004961B5">
      <w:pPr>
        <w:spacing w:after="0" w:line="240" w:lineRule="auto"/>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07"/>
      </w:tblGrid>
      <w:tr w:rsidR="001E5303" w:rsidRPr="0038553B" w:rsidTr="004961B5">
        <w:trPr>
          <w:trHeight w:val="488"/>
        </w:trPr>
        <w:tc>
          <w:tcPr>
            <w:tcW w:w="2905"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pStyle w:val="Heading1"/>
            </w:pPr>
            <w:r w:rsidRPr="0038553B">
              <w:t xml:space="preserve">Instytucja wiodąca </w:t>
            </w:r>
          </w:p>
        </w:tc>
        <w:tc>
          <w:tcPr>
            <w:tcW w:w="6307" w:type="dxa"/>
            <w:tcBorders>
              <w:top w:val="single" w:sz="12" w:space="0" w:color="auto"/>
              <w:left w:val="single" w:sz="12" w:space="0" w:color="auto"/>
              <w:bottom w:val="single" w:sz="12" w:space="0" w:color="auto"/>
              <w:right w:val="single" w:sz="12" w:space="0" w:color="auto"/>
            </w:tcBorders>
            <w:vAlign w:val="center"/>
          </w:tcPr>
          <w:p w:rsidR="001E5303" w:rsidRPr="0038553B" w:rsidRDefault="001E5303" w:rsidP="004961B5">
            <w:pPr>
              <w:spacing w:after="0" w:line="240" w:lineRule="auto"/>
              <w:rPr>
                <w:rFonts w:ascii="Times New Roman" w:hAnsi="Times New Roman"/>
              </w:rPr>
            </w:pPr>
            <w:r>
              <w:rPr>
                <w:rFonts w:ascii="Times New Roman" w:hAnsi="Times New Roman"/>
                <w:sz w:val="26"/>
              </w:rPr>
              <w:t>Ministerstwo Sprawiedliwości</w:t>
            </w:r>
          </w:p>
        </w:tc>
      </w:tr>
    </w:tbl>
    <w:p w:rsidR="001E5303" w:rsidRPr="0038553B" w:rsidRDefault="001E5303" w:rsidP="004961B5">
      <w:pPr>
        <w:spacing w:after="0" w:line="240" w:lineRule="auto"/>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07"/>
      </w:tblGrid>
      <w:tr w:rsidR="001E5303" w:rsidRPr="0038553B" w:rsidTr="004961B5">
        <w:tc>
          <w:tcPr>
            <w:tcW w:w="2905"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spacing w:after="0" w:line="240" w:lineRule="auto"/>
              <w:rPr>
                <w:rFonts w:ascii="Times New Roman" w:hAnsi="Times New Roman"/>
                <w:b/>
                <w:sz w:val="26"/>
              </w:rPr>
            </w:pPr>
            <w:r w:rsidRPr="0038553B">
              <w:rPr>
                <w:rFonts w:ascii="Times New Roman" w:hAnsi="Times New Roman"/>
                <w:b/>
                <w:sz w:val="26"/>
              </w:rPr>
              <w:t xml:space="preserve">Instytucje współpracujące </w:t>
            </w:r>
          </w:p>
        </w:tc>
        <w:tc>
          <w:tcPr>
            <w:tcW w:w="6307" w:type="dxa"/>
            <w:tcBorders>
              <w:top w:val="single" w:sz="12" w:space="0" w:color="auto"/>
              <w:left w:val="single" w:sz="12" w:space="0" w:color="auto"/>
              <w:bottom w:val="single" w:sz="12" w:space="0" w:color="auto"/>
              <w:right w:val="single" w:sz="12" w:space="0" w:color="auto"/>
            </w:tcBorders>
            <w:vAlign w:val="center"/>
          </w:tcPr>
          <w:p w:rsidR="001E5303" w:rsidRDefault="001E5303" w:rsidP="00F808DB">
            <w:pPr>
              <w:spacing w:after="0" w:line="240" w:lineRule="auto"/>
              <w:rPr>
                <w:rFonts w:ascii="Times New Roman" w:hAnsi="Times New Roman"/>
                <w:sz w:val="26"/>
              </w:rPr>
            </w:pPr>
            <w:r>
              <w:rPr>
                <w:rFonts w:ascii="Times New Roman" w:hAnsi="Times New Roman"/>
                <w:sz w:val="26"/>
              </w:rPr>
              <w:t>Ministerstwo Finansów</w:t>
            </w:r>
          </w:p>
          <w:p w:rsidR="001E5303" w:rsidRDefault="001E5303" w:rsidP="00F808DB">
            <w:pPr>
              <w:spacing w:after="0" w:line="240" w:lineRule="auto"/>
              <w:rPr>
                <w:rFonts w:ascii="Times New Roman" w:hAnsi="Times New Roman"/>
                <w:sz w:val="26"/>
              </w:rPr>
            </w:pPr>
            <w:r>
              <w:rPr>
                <w:rFonts w:ascii="Times New Roman" w:hAnsi="Times New Roman"/>
                <w:sz w:val="26"/>
              </w:rPr>
              <w:t>Ministerstwo Gospodarki</w:t>
            </w:r>
          </w:p>
          <w:p w:rsidR="001E5303" w:rsidRPr="0038553B" w:rsidRDefault="001E5303" w:rsidP="00F808DB">
            <w:pPr>
              <w:spacing w:after="0" w:line="240" w:lineRule="auto"/>
              <w:rPr>
                <w:rFonts w:ascii="Times New Roman" w:hAnsi="Times New Roman"/>
              </w:rPr>
            </w:pPr>
            <w:r>
              <w:rPr>
                <w:rFonts w:ascii="Times New Roman" w:hAnsi="Times New Roman"/>
                <w:sz w:val="26"/>
              </w:rPr>
              <w:t>Ministerstwo Pracy i Polityki Społecznej</w:t>
            </w:r>
          </w:p>
        </w:tc>
      </w:tr>
    </w:tbl>
    <w:p w:rsidR="001E5303" w:rsidRPr="0038553B" w:rsidRDefault="001E5303" w:rsidP="004961B5">
      <w:pPr>
        <w:spacing w:after="0" w:line="240" w:lineRule="auto"/>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07"/>
      </w:tblGrid>
      <w:tr w:rsidR="001E5303" w:rsidRPr="0038553B" w:rsidTr="004961B5">
        <w:tc>
          <w:tcPr>
            <w:tcW w:w="2905" w:type="dxa"/>
            <w:tcBorders>
              <w:top w:val="single" w:sz="12" w:space="0" w:color="auto"/>
              <w:left w:val="single" w:sz="12" w:space="0" w:color="auto"/>
              <w:bottom w:val="single" w:sz="12" w:space="0" w:color="auto"/>
              <w:right w:val="single" w:sz="12" w:space="0" w:color="auto"/>
            </w:tcBorders>
            <w:shd w:val="pct12" w:color="auto" w:fill="FFFFFF"/>
            <w:vAlign w:val="center"/>
          </w:tcPr>
          <w:p w:rsidR="001E5303" w:rsidRPr="0038553B" w:rsidRDefault="001E5303" w:rsidP="004961B5">
            <w:pPr>
              <w:spacing w:after="0" w:line="240" w:lineRule="auto"/>
              <w:rPr>
                <w:rFonts w:ascii="Times New Roman" w:hAnsi="Times New Roman"/>
                <w:b/>
                <w:sz w:val="26"/>
              </w:rPr>
            </w:pPr>
            <w:r w:rsidRPr="0038553B">
              <w:rPr>
                <w:rFonts w:ascii="Times New Roman" w:hAnsi="Times New Roman"/>
                <w:b/>
                <w:sz w:val="26"/>
              </w:rPr>
              <w:t>Data przyjęcia przez KSE</w:t>
            </w:r>
          </w:p>
        </w:tc>
        <w:tc>
          <w:tcPr>
            <w:tcW w:w="6307" w:type="dxa"/>
            <w:tcBorders>
              <w:top w:val="single" w:sz="12" w:space="0" w:color="auto"/>
              <w:left w:val="single" w:sz="12" w:space="0" w:color="auto"/>
              <w:bottom w:val="single" w:sz="12" w:space="0" w:color="auto"/>
              <w:right w:val="single" w:sz="12" w:space="0" w:color="auto"/>
            </w:tcBorders>
            <w:vAlign w:val="center"/>
          </w:tcPr>
          <w:p w:rsidR="001E5303" w:rsidRPr="0038553B" w:rsidRDefault="001E5303" w:rsidP="00121F87">
            <w:pPr>
              <w:pStyle w:val="Heading8"/>
              <w:rPr>
                <w:i w:val="0"/>
              </w:rPr>
            </w:pPr>
            <w:r>
              <w:rPr>
                <w:i w:val="0"/>
              </w:rPr>
              <w:t>22 marca 2012 r.</w:t>
            </w:r>
          </w:p>
        </w:tc>
      </w:tr>
    </w:tbl>
    <w:p w:rsidR="001E5303" w:rsidRPr="0038553B" w:rsidRDefault="001E5303" w:rsidP="004961B5">
      <w:pPr>
        <w:spacing w:after="0" w:line="240" w:lineRule="auto"/>
        <w:rPr>
          <w:rFonts w:ascii="Times New Roman" w:hAnsi="Times New Roman"/>
          <w:b/>
          <w:sz w:val="26"/>
        </w:rPr>
        <w:sectPr w:rsidR="001E5303" w:rsidRPr="0038553B">
          <w:footerReference w:type="default" r:id="rId9"/>
          <w:pgSz w:w="11906" w:h="16838"/>
          <w:pgMar w:top="1417" w:right="1417" w:bottom="1417" w:left="1417" w:header="708" w:footer="708" w:gutter="0"/>
          <w:cols w:space="708"/>
          <w:docGrid w:linePitch="360"/>
        </w:sectPr>
      </w:pPr>
    </w:p>
    <w:p w:rsidR="001E5303" w:rsidRPr="0038553B" w:rsidRDefault="001E5303" w:rsidP="004961B5">
      <w:pPr>
        <w:pStyle w:val="Heading5"/>
      </w:pPr>
      <w:r w:rsidRPr="0038553B">
        <w:t>Cel projektu aktu prawnego</w:t>
      </w:r>
    </w:p>
    <w:p w:rsidR="001E5303" w:rsidRPr="0038553B" w:rsidRDefault="001E5303" w:rsidP="004961B5">
      <w:pPr>
        <w:spacing w:after="0" w:line="240" w:lineRule="auto"/>
        <w:rPr>
          <w:rFonts w:ascii="Times New Roman" w:hAnsi="Times New Roman"/>
        </w:rPr>
      </w:pPr>
    </w:p>
    <w:p w:rsidR="001E5303" w:rsidRDefault="001E5303" w:rsidP="00C522BC">
      <w:pPr>
        <w:spacing w:after="0" w:line="360" w:lineRule="auto"/>
        <w:jc w:val="both"/>
        <w:rPr>
          <w:rFonts w:ascii="Times New Roman" w:hAnsi="Times New Roman"/>
          <w:sz w:val="24"/>
          <w:szCs w:val="24"/>
        </w:rPr>
      </w:pPr>
      <w:r>
        <w:rPr>
          <w:rFonts w:ascii="Times New Roman" w:hAnsi="Times New Roman"/>
          <w:sz w:val="24"/>
          <w:szCs w:val="24"/>
        </w:rPr>
        <w:t xml:space="preserve">1. </w:t>
      </w:r>
      <w:r w:rsidRPr="00E270E6">
        <w:rPr>
          <w:rFonts w:ascii="Times New Roman" w:hAnsi="Times New Roman"/>
          <w:sz w:val="24"/>
          <w:szCs w:val="24"/>
        </w:rPr>
        <w:t xml:space="preserve">Głównym celem </w:t>
      </w:r>
      <w:r>
        <w:rPr>
          <w:rFonts w:ascii="Times New Roman" w:hAnsi="Times New Roman"/>
          <w:sz w:val="24"/>
          <w:szCs w:val="24"/>
        </w:rPr>
        <w:t xml:space="preserve">przedstawionego przez Komisję Europejską projektu </w:t>
      </w:r>
      <w:r w:rsidRPr="0099254A">
        <w:rPr>
          <w:rFonts w:ascii="Times New Roman" w:hAnsi="Times New Roman"/>
          <w:i/>
          <w:sz w:val="24"/>
          <w:szCs w:val="24"/>
        </w:rPr>
        <w:t>rozporządzenia</w:t>
      </w:r>
      <w:r>
        <w:rPr>
          <w:rFonts w:ascii="Times New Roman" w:hAnsi="Times New Roman"/>
          <w:sz w:val="24"/>
          <w:szCs w:val="24"/>
        </w:rPr>
        <w:t xml:space="preserve"> </w:t>
      </w:r>
      <w:r w:rsidRPr="00E270E6">
        <w:rPr>
          <w:rFonts w:ascii="Times New Roman" w:hAnsi="Times New Roman"/>
          <w:sz w:val="24"/>
          <w:szCs w:val="24"/>
        </w:rPr>
        <w:t>jest wyeliminowanie przeszkód napotykanych przez fundacje przy prowadzeniu działalnośc</w:t>
      </w:r>
      <w:r>
        <w:rPr>
          <w:rFonts w:ascii="Times New Roman" w:hAnsi="Times New Roman"/>
          <w:sz w:val="24"/>
          <w:szCs w:val="24"/>
        </w:rPr>
        <w:t xml:space="preserve">i transgranicznej w ramach Unii Europejskiej. </w:t>
      </w:r>
      <w:r w:rsidRPr="0099254A">
        <w:rPr>
          <w:rFonts w:ascii="Times New Roman" w:hAnsi="Times New Roman"/>
          <w:sz w:val="24"/>
          <w:szCs w:val="24"/>
        </w:rPr>
        <w:t>Przyjęcie projektu, zakładającego stworzenie jednolitych ram prawnych dla działalności fundacji ma pozwolić na skuteczniejsze przekazywanie środków na cele pożytku publ</w:t>
      </w:r>
      <w:r>
        <w:rPr>
          <w:rFonts w:ascii="Times New Roman" w:hAnsi="Times New Roman"/>
          <w:sz w:val="24"/>
          <w:szCs w:val="24"/>
        </w:rPr>
        <w:t xml:space="preserve">icznego w skali transgranicznej, </w:t>
      </w:r>
      <w:r w:rsidRPr="0099254A">
        <w:rPr>
          <w:rFonts w:ascii="Times New Roman" w:hAnsi="Times New Roman"/>
          <w:sz w:val="24"/>
          <w:szCs w:val="24"/>
        </w:rPr>
        <w:t>w ramach UE. To z kolei powinno zapewnić dostępność większych środków na działalność związaną z</w:t>
      </w:r>
      <w:r>
        <w:rPr>
          <w:rFonts w:ascii="Times New Roman" w:hAnsi="Times New Roman"/>
          <w:sz w:val="24"/>
          <w:szCs w:val="24"/>
        </w:rPr>
        <w:t> celami pożytku publicznego</w:t>
      </w:r>
      <w:r w:rsidRPr="0099254A">
        <w:rPr>
          <w:rFonts w:ascii="Times New Roman" w:hAnsi="Times New Roman"/>
          <w:sz w:val="24"/>
          <w:szCs w:val="24"/>
        </w:rPr>
        <w:t>, a tym samym, zgodnie z intencjami projektodawców, ma przynieść korzyści dla działalności pożytku publicznego na terytorium całej UE.</w:t>
      </w:r>
    </w:p>
    <w:p w:rsidR="001E5303" w:rsidRDefault="001E5303" w:rsidP="00065B6F">
      <w:pPr>
        <w:spacing w:after="0" w:line="240" w:lineRule="auto"/>
        <w:jc w:val="both"/>
        <w:rPr>
          <w:rFonts w:ascii="Times New Roman" w:hAnsi="Times New Roman"/>
          <w:sz w:val="24"/>
          <w:szCs w:val="24"/>
        </w:rPr>
      </w:pPr>
    </w:p>
    <w:p w:rsidR="001E5303" w:rsidRDefault="001E5303" w:rsidP="00C522BC">
      <w:pPr>
        <w:spacing w:after="0" w:line="360" w:lineRule="auto"/>
        <w:jc w:val="both"/>
        <w:rPr>
          <w:rFonts w:ascii="Times New Roman" w:hAnsi="Times New Roman"/>
          <w:sz w:val="24"/>
          <w:szCs w:val="24"/>
        </w:rPr>
      </w:pPr>
      <w:r>
        <w:rPr>
          <w:rFonts w:ascii="Times New Roman" w:hAnsi="Times New Roman"/>
          <w:sz w:val="24"/>
          <w:szCs w:val="24"/>
        </w:rPr>
        <w:t xml:space="preserve">2. Obecnie działalność fundacji w ramach działalności pożytku publicznego nie jest uregulowana w prawie UE i pozostaje w zakresie wyłącznej regulacji prawa krajowego państw członkowskich. </w:t>
      </w:r>
    </w:p>
    <w:p w:rsidR="001E5303" w:rsidRDefault="001E5303" w:rsidP="00065B6F">
      <w:pPr>
        <w:spacing w:after="0" w:line="240" w:lineRule="auto"/>
        <w:jc w:val="both"/>
        <w:rPr>
          <w:rFonts w:ascii="Times New Roman" w:hAnsi="Times New Roman"/>
          <w:sz w:val="24"/>
          <w:szCs w:val="24"/>
        </w:rPr>
      </w:pPr>
    </w:p>
    <w:p w:rsidR="001E5303" w:rsidRDefault="001E5303" w:rsidP="00C522BC">
      <w:pPr>
        <w:spacing w:after="0" w:line="360" w:lineRule="auto"/>
        <w:jc w:val="both"/>
        <w:rPr>
          <w:rFonts w:ascii="Times New Roman" w:hAnsi="Times New Roman"/>
          <w:sz w:val="24"/>
          <w:szCs w:val="24"/>
        </w:rPr>
      </w:pPr>
      <w:r>
        <w:rPr>
          <w:rFonts w:ascii="Times New Roman" w:hAnsi="Times New Roman"/>
          <w:sz w:val="24"/>
          <w:szCs w:val="24"/>
        </w:rPr>
        <w:t>3. Obowiązek zapewnienia równego traktowania fundacji mających status organizacji pożytku publicznego na podstawie prawa krajowego, bez względu na siedzibę w danym państwie członkowskim, była przedmiotem (na gruncie prawa podatkowego) orzecznictwa Trybunału Sprawiedliwości UE - z</w:t>
      </w:r>
      <w:r w:rsidRPr="004F5CA8">
        <w:rPr>
          <w:rFonts w:ascii="Times New Roman" w:hAnsi="Times New Roman"/>
          <w:sz w:val="24"/>
          <w:szCs w:val="24"/>
        </w:rPr>
        <w:t xml:space="preserve">akaz ograniczenia tej </w:t>
      </w:r>
      <w:r>
        <w:rPr>
          <w:rFonts w:ascii="Times New Roman" w:hAnsi="Times New Roman"/>
          <w:sz w:val="24"/>
          <w:szCs w:val="24"/>
        </w:rPr>
        <w:t>działalności</w:t>
      </w:r>
      <w:r w:rsidRPr="004F5CA8">
        <w:rPr>
          <w:rFonts w:ascii="Times New Roman" w:hAnsi="Times New Roman"/>
          <w:sz w:val="24"/>
          <w:szCs w:val="24"/>
        </w:rPr>
        <w:t xml:space="preserve"> </w:t>
      </w:r>
      <w:r>
        <w:rPr>
          <w:rFonts w:ascii="Times New Roman" w:hAnsi="Times New Roman"/>
          <w:sz w:val="24"/>
          <w:szCs w:val="24"/>
        </w:rPr>
        <w:t>wskazano w orzeczeniu</w:t>
      </w:r>
      <w:r w:rsidRPr="004F5CA8">
        <w:rPr>
          <w:rFonts w:ascii="Times New Roman" w:hAnsi="Times New Roman"/>
          <w:sz w:val="24"/>
          <w:szCs w:val="24"/>
        </w:rPr>
        <w:t xml:space="preserve"> </w:t>
      </w:r>
      <w:r>
        <w:rPr>
          <w:rFonts w:ascii="Times New Roman" w:hAnsi="Times New Roman"/>
          <w:sz w:val="24"/>
          <w:szCs w:val="24"/>
        </w:rPr>
        <w:t>Trybunału Sprawiedliwości</w:t>
      </w:r>
      <w:r w:rsidRPr="004F5CA8">
        <w:rPr>
          <w:rFonts w:ascii="Times New Roman" w:hAnsi="Times New Roman"/>
          <w:sz w:val="24"/>
          <w:szCs w:val="24"/>
        </w:rPr>
        <w:t xml:space="preserve"> z 24 wrze</w:t>
      </w:r>
      <w:r>
        <w:rPr>
          <w:rFonts w:ascii="Times New Roman" w:hAnsi="Times New Roman"/>
          <w:sz w:val="24"/>
          <w:szCs w:val="24"/>
        </w:rPr>
        <w:t>śnia 2006 r. w sprawie C-386/04</w:t>
      </w:r>
      <w:r w:rsidRPr="004F5CA8">
        <w:rPr>
          <w:rFonts w:ascii="Times New Roman" w:hAnsi="Times New Roman"/>
          <w:sz w:val="24"/>
          <w:szCs w:val="24"/>
        </w:rPr>
        <w:t xml:space="preserve"> </w:t>
      </w:r>
      <w:r w:rsidRPr="004F5CA8">
        <w:rPr>
          <w:rFonts w:ascii="Times New Roman" w:hAnsi="Times New Roman"/>
          <w:i/>
          <w:sz w:val="24"/>
          <w:szCs w:val="24"/>
        </w:rPr>
        <w:t>Centro di Musicologia</w:t>
      </w:r>
      <w:r w:rsidRPr="004F5CA8">
        <w:rPr>
          <w:rFonts w:ascii="Times New Roman" w:hAnsi="Times New Roman"/>
          <w:sz w:val="24"/>
          <w:szCs w:val="24"/>
        </w:rPr>
        <w:t xml:space="preserve"> </w:t>
      </w:r>
      <w:r w:rsidRPr="004F5CA8">
        <w:rPr>
          <w:rFonts w:ascii="Times New Roman" w:hAnsi="Times New Roman"/>
          <w:i/>
          <w:sz w:val="24"/>
          <w:szCs w:val="24"/>
        </w:rPr>
        <w:t>Walter Stauffer</w:t>
      </w:r>
      <w:r>
        <w:rPr>
          <w:rFonts w:ascii="Times New Roman" w:hAnsi="Times New Roman"/>
          <w:sz w:val="24"/>
          <w:szCs w:val="24"/>
        </w:rPr>
        <w:t xml:space="preserve"> oraz w orzeczeniu </w:t>
      </w:r>
      <w:r w:rsidRPr="004F5CA8">
        <w:rPr>
          <w:rFonts w:ascii="Times New Roman" w:hAnsi="Times New Roman"/>
          <w:sz w:val="24"/>
          <w:szCs w:val="24"/>
        </w:rPr>
        <w:t>z 27 maja 2009 r. w</w:t>
      </w:r>
      <w:r>
        <w:rPr>
          <w:rFonts w:ascii="Times New Roman" w:hAnsi="Times New Roman"/>
          <w:sz w:val="24"/>
          <w:szCs w:val="24"/>
        </w:rPr>
        <w:t> </w:t>
      </w:r>
      <w:r w:rsidRPr="004F5CA8">
        <w:rPr>
          <w:rFonts w:ascii="Times New Roman" w:hAnsi="Times New Roman"/>
          <w:sz w:val="24"/>
          <w:szCs w:val="24"/>
        </w:rPr>
        <w:t>sprawie C-318/07</w:t>
      </w:r>
      <w:r>
        <w:rPr>
          <w:rFonts w:ascii="Times New Roman" w:hAnsi="Times New Roman"/>
          <w:sz w:val="24"/>
          <w:szCs w:val="24"/>
        </w:rPr>
        <w:t xml:space="preserve"> </w:t>
      </w:r>
      <w:r w:rsidRPr="004F5CA8">
        <w:rPr>
          <w:rFonts w:ascii="Times New Roman" w:hAnsi="Times New Roman"/>
          <w:i/>
          <w:sz w:val="24"/>
          <w:szCs w:val="24"/>
        </w:rPr>
        <w:t>Hein Persche</w:t>
      </w:r>
      <w:r>
        <w:rPr>
          <w:rFonts w:ascii="Times New Roman" w:hAnsi="Times New Roman"/>
          <w:sz w:val="24"/>
          <w:szCs w:val="24"/>
        </w:rPr>
        <w:t xml:space="preserve">. W orzeczeniach tych podniesiono, że brak możliwości skorzystania z przywilejów na gruncie prawa podatkowego przez fundacje posiadające status organizacji pożytku publicznego jest niezgodny z art. 56 </w:t>
      </w:r>
      <w:r w:rsidRPr="0099254A">
        <w:rPr>
          <w:rFonts w:ascii="Times New Roman" w:hAnsi="Times New Roman"/>
          <w:i/>
          <w:sz w:val="24"/>
          <w:szCs w:val="24"/>
        </w:rPr>
        <w:t>Traktatu ustanawiającego Wspólnotę Europejską</w:t>
      </w:r>
      <w:r>
        <w:rPr>
          <w:rFonts w:ascii="Times New Roman" w:hAnsi="Times New Roman"/>
          <w:sz w:val="24"/>
          <w:szCs w:val="24"/>
        </w:rPr>
        <w:t xml:space="preserve"> (obecny art. 63 </w:t>
      </w:r>
      <w:r w:rsidRPr="0099254A">
        <w:rPr>
          <w:rFonts w:ascii="Times New Roman" w:hAnsi="Times New Roman"/>
          <w:i/>
          <w:sz w:val="24"/>
          <w:szCs w:val="24"/>
        </w:rPr>
        <w:t>Traktatu o funkcjonowaniu Unii Europejskiej</w:t>
      </w:r>
      <w:r>
        <w:rPr>
          <w:rFonts w:ascii="Times New Roman" w:hAnsi="Times New Roman"/>
          <w:sz w:val="24"/>
          <w:szCs w:val="24"/>
        </w:rPr>
        <w:t xml:space="preserve">). </w:t>
      </w:r>
    </w:p>
    <w:p w:rsidR="001E5303" w:rsidRDefault="001E5303" w:rsidP="00065B6F">
      <w:pPr>
        <w:spacing w:after="0" w:line="240" w:lineRule="auto"/>
        <w:jc w:val="both"/>
        <w:rPr>
          <w:rFonts w:ascii="Times New Roman" w:hAnsi="Times New Roman"/>
          <w:sz w:val="24"/>
          <w:szCs w:val="24"/>
        </w:rPr>
      </w:pPr>
    </w:p>
    <w:p w:rsidR="001E5303" w:rsidRPr="00272288" w:rsidRDefault="001E5303" w:rsidP="00C522BC">
      <w:pPr>
        <w:spacing w:after="0" w:line="360" w:lineRule="auto"/>
        <w:jc w:val="both"/>
        <w:rPr>
          <w:rFonts w:ascii="Times New Roman" w:hAnsi="Times New Roman"/>
          <w:sz w:val="24"/>
          <w:szCs w:val="24"/>
        </w:rPr>
      </w:pPr>
      <w:r>
        <w:rPr>
          <w:rFonts w:ascii="Times New Roman" w:hAnsi="Times New Roman"/>
          <w:sz w:val="24"/>
          <w:szCs w:val="24"/>
        </w:rPr>
        <w:t>4. W opinii Komisji Europejskiej przyjęcie w prawie UE instrumentu tworzącego jednolity statut fundacji europejskiej doprowadzi do ograniczenia istnienie barier prawnych, w tym w zakresie swobody przepływu kapitału, utrudniających fundacjom działalność transgraniczną na obszarze całej Unii Europejskiej. W opinii Komisji stworzenie jednolitego statutu fundacji europejskiej doprowadzi także do ograniczenia kosztów</w:t>
      </w:r>
      <w:r w:rsidRPr="00BD69A7">
        <w:rPr>
          <w:rFonts w:ascii="Times New Roman" w:hAnsi="Times New Roman"/>
          <w:sz w:val="24"/>
          <w:szCs w:val="24"/>
        </w:rPr>
        <w:t xml:space="preserve"> </w:t>
      </w:r>
      <w:r>
        <w:rPr>
          <w:rFonts w:ascii="Times New Roman" w:hAnsi="Times New Roman"/>
          <w:sz w:val="24"/>
          <w:szCs w:val="24"/>
        </w:rPr>
        <w:t xml:space="preserve">obsługi prawnej fundacji </w:t>
      </w:r>
      <w:r w:rsidRPr="00BD69A7">
        <w:rPr>
          <w:rFonts w:ascii="Times New Roman" w:hAnsi="Times New Roman"/>
          <w:sz w:val="24"/>
          <w:szCs w:val="24"/>
        </w:rPr>
        <w:t xml:space="preserve">i </w:t>
      </w:r>
      <w:r>
        <w:rPr>
          <w:rFonts w:ascii="Times New Roman" w:hAnsi="Times New Roman"/>
          <w:sz w:val="24"/>
          <w:szCs w:val="24"/>
        </w:rPr>
        <w:t xml:space="preserve">wydatków na dopełnienie wymogów </w:t>
      </w:r>
      <w:r w:rsidRPr="00BD69A7">
        <w:rPr>
          <w:rFonts w:ascii="Times New Roman" w:hAnsi="Times New Roman"/>
          <w:sz w:val="24"/>
          <w:szCs w:val="24"/>
        </w:rPr>
        <w:t xml:space="preserve">administracyjnych określonych w </w:t>
      </w:r>
      <w:r>
        <w:rPr>
          <w:rFonts w:ascii="Times New Roman" w:hAnsi="Times New Roman"/>
          <w:sz w:val="24"/>
          <w:szCs w:val="24"/>
        </w:rPr>
        <w:t xml:space="preserve">prawie krajowym państw członkowskich. </w:t>
      </w:r>
    </w:p>
    <w:p w:rsidR="001E5303" w:rsidRPr="0038553B" w:rsidRDefault="001E5303" w:rsidP="00C522BC">
      <w:pPr>
        <w:spacing w:after="0" w:line="360" w:lineRule="auto"/>
        <w:rPr>
          <w:rFonts w:ascii="Times New Roman" w:hAnsi="Times New Roman"/>
        </w:rPr>
      </w:pPr>
    </w:p>
    <w:p w:rsidR="001E5303" w:rsidRPr="0038553B" w:rsidRDefault="001E5303" w:rsidP="00C522BC">
      <w:pPr>
        <w:pStyle w:val="Heading5"/>
        <w:spacing w:line="360" w:lineRule="auto"/>
      </w:pPr>
      <w:r w:rsidRPr="0038553B">
        <w:t xml:space="preserve">Stanowisko RP </w:t>
      </w:r>
    </w:p>
    <w:p w:rsidR="001E5303" w:rsidRPr="0038553B" w:rsidRDefault="001E5303" w:rsidP="00C522BC">
      <w:pPr>
        <w:spacing w:after="0" w:line="360" w:lineRule="auto"/>
        <w:rPr>
          <w:rFonts w:ascii="Times New Roman" w:hAnsi="Times New Roman"/>
        </w:rPr>
      </w:pPr>
    </w:p>
    <w:p w:rsidR="001E5303" w:rsidRPr="002D45FF" w:rsidRDefault="001E5303" w:rsidP="00C522BC">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rPr>
        <w:t>Rząd RP ma istotne</w:t>
      </w:r>
      <w:r w:rsidRPr="002D45FF">
        <w:rPr>
          <w:rFonts w:ascii="Times New Roman" w:hAnsi="Times New Roman"/>
          <w:sz w:val="24"/>
          <w:szCs w:val="24"/>
        </w:rPr>
        <w:t xml:space="preserve"> wątpliwości odnośnie do samej potrzeby stworzenia nowej instytucji europejskiego prawa prywatnego w postaci fundacji europejskiej</w:t>
      </w:r>
      <w:r>
        <w:rPr>
          <w:rFonts w:ascii="Times New Roman" w:hAnsi="Times New Roman"/>
          <w:sz w:val="24"/>
          <w:szCs w:val="24"/>
        </w:rPr>
        <w:t xml:space="preserve"> tzn. czy jest to środek rzeczywiście niezbędny i odpowiedni do tego, aby w praktyce ułatwić prowadzenie transgranicznej działalności pożytku publicznego w UE</w:t>
      </w:r>
      <w:r w:rsidRPr="002D45FF">
        <w:rPr>
          <w:rFonts w:ascii="Times New Roman" w:hAnsi="Times New Roman"/>
          <w:sz w:val="24"/>
          <w:szCs w:val="24"/>
        </w:rPr>
        <w:t>. W uzasadnieniu do projektu rozporządzenia Komisja Europejska nie przedstawiła przekonujących argumentów</w:t>
      </w:r>
      <w:r>
        <w:rPr>
          <w:rFonts w:ascii="Times New Roman" w:hAnsi="Times New Roman"/>
          <w:sz w:val="24"/>
          <w:szCs w:val="24"/>
        </w:rPr>
        <w:t xml:space="preserve"> uzasadniających taką</w:t>
      </w:r>
      <w:r w:rsidRPr="002D45FF">
        <w:rPr>
          <w:rFonts w:ascii="Times New Roman" w:hAnsi="Times New Roman"/>
          <w:sz w:val="24"/>
          <w:szCs w:val="24"/>
        </w:rPr>
        <w:t xml:space="preserve"> potrzebę. </w:t>
      </w:r>
    </w:p>
    <w:p w:rsidR="001E5303" w:rsidRDefault="001E5303" w:rsidP="00C522BC">
      <w:pPr>
        <w:pStyle w:val="ListParagraph"/>
        <w:numPr>
          <w:ilvl w:val="0"/>
          <w:numId w:val="6"/>
        </w:numPr>
        <w:spacing w:after="0" w:line="360" w:lineRule="auto"/>
        <w:jc w:val="both"/>
        <w:rPr>
          <w:rFonts w:ascii="Times New Roman" w:hAnsi="Times New Roman"/>
          <w:sz w:val="24"/>
          <w:szCs w:val="24"/>
        </w:rPr>
      </w:pPr>
      <w:r w:rsidRPr="002D45FF">
        <w:rPr>
          <w:rFonts w:ascii="Times New Roman" w:hAnsi="Times New Roman"/>
          <w:sz w:val="24"/>
          <w:szCs w:val="24"/>
        </w:rPr>
        <w:t>Niezależnie od powyższych wątpliwości o charakterze zasadniczym</w:t>
      </w:r>
      <w:r>
        <w:rPr>
          <w:rFonts w:ascii="Times New Roman" w:hAnsi="Times New Roman"/>
          <w:sz w:val="24"/>
          <w:szCs w:val="24"/>
        </w:rPr>
        <w:t>, Rząd uważa, że należy włączyć się w prace nad projektem, tak aby zapewnić mu kształt,</w:t>
      </w:r>
      <w:r w:rsidRPr="002D45FF">
        <w:rPr>
          <w:rFonts w:ascii="Times New Roman" w:hAnsi="Times New Roman"/>
          <w:sz w:val="24"/>
          <w:szCs w:val="24"/>
        </w:rPr>
        <w:t xml:space="preserve"> który</w:t>
      </w:r>
      <w:r>
        <w:rPr>
          <w:rFonts w:ascii="Times New Roman" w:hAnsi="Times New Roman"/>
          <w:sz w:val="24"/>
          <w:szCs w:val="24"/>
        </w:rPr>
        <w:t xml:space="preserve"> będzie zawierał rozwiązania najbardziej korzystne</w:t>
      </w:r>
      <w:r w:rsidRPr="002D45FF">
        <w:rPr>
          <w:rFonts w:ascii="Times New Roman" w:hAnsi="Times New Roman"/>
          <w:sz w:val="24"/>
          <w:szCs w:val="24"/>
        </w:rPr>
        <w:t xml:space="preserve"> z punktu widzenia potrzeb polskiego sektora fundacji </w:t>
      </w:r>
      <w:r>
        <w:rPr>
          <w:rFonts w:ascii="Times New Roman" w:hAnsi="Times New Roman"/>
          <w:sz w:val="24"/>
          <w:szCs w:val="24"/>
        </w:rPr>
        <w:t xml:space="preserve">i </w:t>
      </w:r>
      <w:r w:rsidRPr="002D45FF">
        <w:rPr>
          <w:rFonts w:ascii="Times New Roman" w:hAnsi="Times New Roman"/>
          <w:sz w:val="24"/>
          <w:szCs w:val="24"/>
        </w:rPr>
        <w:t>dostosowane do zasad polskiego systemu prawa cywilnego i administracyjne</w:t>
      </w:r>
      <w:r>
        <w:rPr>
          <w:rFonts w:ascii="Times New Roman" w:hAnsi="Times New Roman"/>
          <w:sz w:val="24"/>
          <w:szCs w:val="24"/>
        </w:rPr>
        <w:t>go.</w:t>
      </w:r>
    </w:p>
    <w:p w:rsidR="001E5303" w:rsidRPr="0022196C" w:rsidRDefault="001E5303" w:rsidP="00C522BC">
      <w:pPr>
        <w:pStyle w:val="ListParagraph"/>
        <w:numPr>
          <w:ilvl w:val="0"/>
          <w:numId w:val="6"/>
        </w:numPr>
        <w:spacing w:after="0" w:line="360" w:lineRule="auto"/>
        <w:jc w:val="both"/>
        <w:rPr>
          <w:rFonts w:ascii="Times New Roman" w:hAnsi="Times New Roman"/>
          <w:sz w:val="24"/>
          <w:szCs w:val="24"/>
        </w:rPr>
      </w:pPr>
      <w:r w:rsidRPr="0022196C">
        <w:rPr>
          <w:rFonts w:ascii="Times New Roman" w:hAnsi="Times New Roman"/>
          <w:sz w:val="24"/>
          <w:szCs w:val="24"/>
        </w:rPr>
        <w:t xml:space="preserve">Rząd stoi na stanowisku, iż forma prawna fundacji europejskiej powinna być dostępna tylko dla podmiotów faktycznie prowadzących działalność transgraniczną. W tym celu w toku negocjacji </w:t>
      </w:r>
      <w:r>
        <w:rPr>
          <w:rFonts w:ascii="Times New Roman" w:hAnsi="Times New Roman"/>
          <w:sz w:val="24"/>
          <w:szCs w:val="24"/>
        </w:rPr>
        <w:t>należy dążyć</w:t>
      </w:r>
      <w:r w:rsidRPr="0022196C">
        <w:rPr>
          <w:rFonts w:ascii="Times New Roman" w:hAnsi="Times New Roman"/>
          <w:sz w:val="24"/>
          <w:szCs w:val="24"/>
        </w:rPr>
        <w:t xml:space="preserve"> do doprecyzowania przepisów określających wymogi w tym zakresie.</w:t>
      </w:r>
    </w:p>
    <w:p w:rsidR="001E5303" w:rsidRPr="00D37BBA" w:rsidRDefault="001E5303" w:rsidP="00C522BC">
      <w:pPr>
        <w:pStyle w:val="ListParagraph"/>
        <w:numPr>
          <w:ilvl w:val="0"/>
          <w:numId w:val="6"/>
        </w:numPr>
        <w:spacing w:after="0" w:line="360" w:lineRule="auto"/>
        <w:jc w:val="both"/>
        <w:rPr>
          <w:rFonts w:ascii="Times New Roman" w:hAnsi="Times New Roman"/>
          <w:sz w:val="24"/>
          <w:szCs w:val="24"/>
        </w:rPr>
      </w:pPr>
      <w:r w:rsidRPr="00D37BBA">
        <w:rPr>
          <w:rFonts w:ascii="Times New Roman" w:hAnsi="Times New Roman"/>
          <w:sz w:val="24"/>
          <w:szCs w:val="24"/>
        </w:rPr>
        <w:t>W ocenie Rządu proponowana w projekcie minimalna wysokość kapitału założycielskiego fundacji europejskiej nie uwzględnia specyfiki polskiego sektora organizacji pożytku publicznego. Wydaje się wygórowana i może stanowić istotną przeszkodę dla pod</w:t>
      </w:r>
      <w:r>
        <w:rPr>
          <w:rFonts w:ascii="Times New Roman" w:hAnsi="Times New Roman"/>
          <w:sz w:val="24"/>
          <w:szCs w:val="24"/>
        </w:rPr>
        <w:t>ejmowania</w:t>
      </w:r>
      <w:r w:rsidRPr="00D37BBA">
        <w:rPr>
          <w:rFonts w:ascii="Times New Roman" w:hAnsi="Times New Roman"/>
          <w:sz w:val="24"/>
          <w:szCs w:val="24"/>
        </w:rPr>
        <w:t xml:space="preserve"> przez polskie podmioty działalności w tej formie prawnej. W związku z tym należy dążyć do stosownego obniżenia wysokości wymaganej kwoty. </w:t>
      </w:r>
    </w:p>
    <w:p w:rsidR="001E5303" w:rsidRPr="00D37BBA" w:rsidRDefault="001E5303" w:rsidP="00C522BC">
      <w:pPr>
        <w:pStyle w:val="ListParagraph"/>
        <w:numPr>
          <w:ilvl w:val="0"/>
          <w:numId w:val="6"/>
        </w:numPr>
        <w:spacing w:after="0" w:line="360" w:lineRule="auto"/>
        <w:jc w:val="both"/>
        <w:rPr>
          <w:rFonts w:ascii="Times New Roman" w:hAnsi="Times New Roman"/>
          <w:sz w:val="24"/>
          <w:szCs w:val="24"/>
        </w:rPr>
      </w:pPr>
      <w:r w:rsidRPr="00D37BBA">
        <w:rPr>
          <w:rFonts w:ascii="Times New Roman" w:hAnsi="Times New Roman"/>
          <w:sz w:val="24"/>
          <w:szCs w:val="24"/>
        </w:rPr>
        <w:t>Rząd co do zasady może zaakceptować stosowanie proponowanych procedur informacyjno - konsultacyjnych w odniesieniu do pracowników fundacji europejskiej</w:t>
      </w:r>
      <w:r>
        <w:rPr>
          <w:rFonts w:ascii="Times New Roman" w:hAnsi="Times New Roman"/>
          <w:sz w:val="24"/>
          <w:szCs w:val="24"/>
        </w:rPr>
        <w:t>,  przy założeniu, że będą one uruchamiane tylko na wniosek stosownej liczby pracowników</w:t>
      </w:r>
      <w:r w:rsidRPr="00D37BBA">
        <w:rPr>
          <w:rFonts w:ascii="Times New Roman" w:hAnsi="Times New Roman"/>
          <w:sz w:val="24"/>
          <w:szCs w:val="24"/>
        </w:rPr>
        <w:t xml:space="preserve">. </w:t>
      </w:r>
      <w:r>
        <w:rPr>
          <w:rFonts w:ascii="Times New Roman" w:hAnsi="Times New Roman"/>
          <w:sz w:val="24"/>
          <w:szCs w:val="24"/>
        </w:rPr>
        <w:t>Dalej idące rozwiązania w zakresie</w:t>
      </w:r>
      <w:r w:rsidRPr="00D37BBA">
        <w:rPr>
          <w:rFonts w:ascii="Times New Roman" w:hAnsi="Times New Roman"/>
          <w:sz w:val="24"/>
          <w:szCs w:val="24"/>
        </w:rPr>
        <w:t xml:space="preserve"> partycypacji pracowników stał</w:t>
      </w:r>
      <w:r>
        <w:rPr>
          <w:rFonts w:ascii="Times New Roman" w:hAnsi="Times New Roman"/>
          <w:sz w:val="24"/>
          <w:szCs w:val="24"/>
        </w:rPr>
        <w:t>y</w:t>
      </w:r>
      <w:r w:rsidRPr="00D37BBA">
        <w:rPr>
          <w:rFonts w:ascii="Times New Roman" w:hAnsi="Times New Roman"/>
          <w:sz w:val="24"/>
          <w:szCs w:val="24"/>
        </w:rPr>
        <w:t xml:space="preserve">by w rażącej sprzeczności z istotą fundacji jako osoby prawnej i celami jej powołania.  </w:t>
      </w:r>
    </w:p>
    <w:p w:rsidR="001E5303" w:rsidRPr="00D37BBA" w:rsidRDefault="001E5303" w:rsidP="00C522BC">
      <w:pPr>
        <w:spacing w:after="0" w:line="360" w:lineRule="auto"/>
        <w:jc w:val="both"/>
        <w:rPr>
          <w:rFonts w:ascii="Times New Roman" w:hAnsi="Times New Roman"/>
          <w:sz w:val="24"/>
          <w:szCs w:val="24"/>
        </w:rPr>
      </w:pPr>
    </w:p>
    <w:p w:rsidR="001E5303" w:rsidRPr="0038553B" w:rsidRDefault="001E5303" w:rsidP="00C522BC">
      <w:pPr>
        <w:pStyle w:val="Heading5"/>
        <w:spacing w:line="360" w:lineRule="auto"/>
      </w:pPr>
      <w:r w:rsidRPr="0038553B">
        <w:t>Uzasadnienie stanowiska RP</w:t>
      </w:r>
    </w:p>
    <w:p w:rsidR="001E5303" w:rsidRPr="0038553B" w:rsidRDefault="001E5303" w:rsidP="00C522BC">
      <w:pPr>
        <w:spacing w:after="0" w:line="360" w:lineRule="auto"/>
        <w:jc w:val="both"/>
        <w:rPr>
          <w:rFonts w:ascii="Times New Roman" w:hAnsi="Times New Roman"/>
        </w:rPr>
      </w:pPr>
    </w:p>
    <w:p w:rsidR="001E5303" w:rsidRPr="00A006D8" w:rsidRDefault="001E5303" w:rsidP="00C522BC">
      <w:pPr>
        <w:pStyle w:val="BodyText"/>
        <w:spacing w:after="0" w:line="360" w:lineRule="auto"/>
        <w:jc w:val="both"/>
        <w:rPr>
          <w:rFonts w:ascii="Times New Roman" w:hAnsi="Times New Roman"/>
          <w:sz w:val="24"/>
        </w:rPr>
      </w:pPr>
      <w:r>
        <w:rPr>
          <w:rFonts w:ascii="Times New Roman" w:hAnsi="Times New Roman"/>
          <w:sz w:val="24"/>
        </w:rPr>
        <w:t>1</w:t>
      </w:r>
      <w:r w:rsidRPr="00A006D8">
        <w:rPr>
          <w:rFonts w:ascii="Times New Roman" w:hAnsi="Times New Roman"/>
          <w:sz w:val="24"/>
        </w:rPr>
        <w:t xml:space="preserve">. </w:t>
      </w:r>
      <w:r w:rsidRPr="00CB606C">
        <w:rPr>
          <w:rFonts w:ascii="Times New Roman" w:hAnsi="Times New Roman"/>
          <w:sz w:val="24"/>
          <w:szCs w:val="24"/>
        </w:rPr>
        <w:t xml:space="preserve">Dotychczasowe stanowiska </w:t>
      </w:r>
      <w:r>
        <w:rPr>
          <w:rFonts w:ascii="Times New Roman" w:hAnsi="Times New Roman"/>
          <w:sz w:val="24"/>
          <w:szCs w:val="24"/>
        </w:rPr>
        <w:t>poważnej</w:t>
      </w:r>
      <w:r w:rsidRPr="00CB606C">
        <w:rPr>
          <w:rFonts w:ascii="Times New Roman" w:hAnsi="Times New Roman"/>
          <w:sz w:val="24"/>
          <w:szCs w:val="24"/>
        </w:rPr>
        <w:t xml:space="preserve"> grupy państw członkowskich wyrażane w toku nieformalnych konsultacji koncepcji przyjęcia jednolitego statutu fundacji europejskiej były zdecydowanie sceptyczne. W kontekście podstawy prawnej – art. 352 </w:t>
      </w:r>
      <w:r w:rsidRPr="00CB606C">
        <w:rPr>
          <w:rFonts w:ascii="Times New Roman" w:hAnsi="Times New Roman"/>
          <w:i/>
          <w:sz w:val="24"/>
          <w:szCs w:val="24"/>
        </w:rPr>
        <w:t>Traktatu o</w:t>
      </w:r>
      <w:r>
        <w:rPr>
          <w:rFonts w:ascii="Times New Roman" w:hAnsi="Times New Roman"/>
          <w:i/>
          <w:sz w:val="24"/>
          <w:szCs w:val="24"/>
        </w:rPr>
        <w:t> </w:t>
      </w:r>
      <w:r w:rsidRPr="00CB606C">
        <w:rPr>
          <w:rFonts w:ascii="Times New Roman" w:hAnsi="Times New Roman"/>
          <w:i/>
          <w:sz w:val="24"/>
          <w:szCs w:val="24"/>
        </w:rPr>
        <w:t>funkcjonowaniu Unii Europejskiej</w:t>
      </w:r>
      <w:r w:rsidRPr="00CB606C">
        <w:rPr>
          <w:rFonts w:ascii="Times New Roman" w:hAnsi="Times New Roman"/>
          <w:sz w:val="24"/>
          <w:szCs w:val="24"/>
        </w:rPr>
        <w:t>, któr</w:t>
      </w:r>
      <w:r>
        <w:rPr>
          <w:rFonts w:ascii="Times New Roman" w:hAnsi="Times New Roman"/>
          <w:sz w:val="24"/>
          <w:szCs w:val="24"/>
        </w:rPr>
        <w:t>y</w:t>
      </w:r>
      <w:r w:rsidRPr="00CB606C">
        <w:rPr>
          <w:rFonts w:ascii="Times New Roman" w:hAnsi="Times New Roman"/>
          <w:sz w:val="24"/>
          <w:szCs w:val="24"/>
        </w:rPr>
        <w:t xml:space="preserve"> przewiduje jednomyślność w odniesieniu do decyzji o przyjęciu t</w:t>
      </w:r>
      <w:r>
        <w:rPr>
          <w:rFonts w:ascii="Times New Roman" w:hAnsi="Times New Roman"/>
          <w:sz w:val="24"/>
          <w:szCs w:val="24"/>
        </w:rPr>
        <w:t>akiego</w:t>
      </w:r>
      <w:r w:rsidRPr="00CB606C">
        <w:rPr>
          <w:rFonts w:ascii="Times New Roman" w:hAnsi="Times New Roman"/>
          <w:sz w:val="24"/>
          <w:szCs w:val="24"/>
        </w:rPr>
        <w:t xml:space="preserve"> aktu prawnego UE, daje to niewielkie szanse na przyjęcie projektu. </w:t>
      </w:r>
      <w:r>
        <w:rPr>
          <w:rFonts w:ascii="Times New Roman" w:hAnsi="Times New Roman"/>
          <w:sz w:val="24"/>
          <w:szCs w:val="24"/>
        </w:rPr>
        <w:t>W związku z powyższym podjęcie</w:t>
      </w:r>
      <w:r>
        <w:rPr>
          <w:rFonts w:ascii="Times New Roman" w:hAnsi="Times New Roman"/>
          <w:sz w:val="24"/>
        </w:rPr>
        <w:t xml:space="preserve"> prac nad utworzeniem</w:t>
      </w:r>
      <w:r w:rsidRPr="00A006D8">
        <w:rPr>
          <w:rFonts w:ascii="Times New Roman" w:hAnsi="Times New Roman"/>
          <w:sz w:val="24"/>
        </w:rPr>
        <w:t xml:space="preserve"> fundacji europejskiej jako kolejnej europejskiej osoby prawa prywatnego, powinno </w:t>
      </w:r>
      <w:r>
        <w:rPr>
          <w:rFonts w:ascii="Times New Roman" w:hAnsi="Times New Roman"/>
          <w:sz w:val="24"/>
        </w:rPr>
        <w:t xml:space="preserve">było </w:t>
      </w:r>
      <w:r w:rsidRPr="00A006D8">
        <w:rPr>
          <w:rFonts w:ascii="Times New Roman" w:hAnsi="Times New Roman"/>
          <w:sz w:val="24"/>
        </w:rPr>
        <w:t>b</w:t>
      </w:r>
      <w:r>
        <w:rPr>
          <w:rFonts w:ascii="Times New Roman" w:hAnsi="Times New Roman"/>
          <w:sz w:val="24"/>
        </w:rPr>
        <w:t>yć poprzedzone wnikliwą analizą Komisji Europejskiej wyjaśniającą</w:t>
      </w:r>
      <w:r w:rsidRPr="00A006D8">
        <w:rPr>
          <w:rFonts w:ascii="Times New Roman" w:hAnsi="Times New Roman"/>
          <w:sz w:val="24"/>
        </w:rPr>
        <w:t xml:space="preserve"> rzeczywiste przyczyny bardzo niewielkiego zastosowania już istniejących europejskich form prawa prywatnego</w:t>
      </w:r>
      <w:r>
        <w:rPr>
          <w:rFonts w:ascii="Times New Roman" w:hAnsi="Times New Roman"/>
          <w:sz w:val="24"/>
        </w:rPr>
        <w:t>,</w:t>
      </w:r>
      <w:r w:rsidRPr="00A006D8">
        <w:rPr>
          <w:rFonts w:ascii="Times New Roman" w:hAnsi="Times New Roman"/>
          <w:sz w:val="24"/>
        </w:rPr>
        <w:t xml:space="preserve"> takich jak spółka europejska (</w:t>
      </w:r>
      <w:r>
        <w:rPr>
          <w:rFonts w:ascii="Times New Roman" w:hAnsi="Times New Roman"/>
          <w:i/>
          <w:sz w:val="24"/>
        </w:rPr>
        <w:t>rozporządzenie</w:t>
      </w:r>
      <w:r w:rsidRPr="00A006D8">
        <w:rPr>
          <w:rFonts w:ascii="Times New Roman" w:hAnsi="Times New Roman"/>
          <w:i/>
          <w:sz w:val="24"/>
        </w:rPr>
        <w:t xml:space="preserve"> Rady (WE) Nr 2157/2001 z dnia 8 października 2001 r. w sprawie statutu spółki europejskiej</w:t>
      </w:r>
      <w:r w:rsidRPr="00A006D8">
        <w:rPr>
          <w:rFonts w:ascii="Times New Roman" w:hAnsi="Times New Roman"/>
          <w:sz w:val="24"/>
        </w:rPr>
        <w:t>), spółdzielnia europejska (</w:t>
      </w:r>
      <w:r w:rsidRPr="00A006D8">
        <w:rPr>
          <w:rFonts w:ascii="Times New Roman" w:hAnsi="Times New Roman"/>
          <w:i/>
          <w:sz w:val="24"/>
        </w:rPr>
        <w:t>rozporządzeni</w:t>
      </w:r>
      <w:r>
        <w:rPr>
          <w:rFonts w:ascii="Times New Roman" w:hAnsi="Times New Roman"/>
          <w:i/>
          <w:sz w:val="24"/>
        </w:rPr>
        <w:t>e</w:t>
      </w:r>
      <w:r w:rsidRPr="00A006D8">
        <w:rPr>
          <w:rFonts w:ascii="Times New Roman" w:hAnsi="Times New Roman"/>
          <w:i/>
          <w:sz w:val="24"/>
        </w:rPr>
        <w:t xml:space="preserve"> Rady (WE) Nr 1435/2003 z dnia 22 lipca 2003 r. w sprawie statutu spółdzielni europejskiej</w:t>
      </w:r>
      <w:r w:rsidRPr="00A006D8">
        <w:rPr>
          <w:rFonts w:ascii="Times New Roman" w:hAnsi="Times New Roman"/>
          <w:sz w:val="24"/>
        </w:rPr>
        <w:t>) oraz europejskie zgrupowanie interesów gospodarczych (</w:t>
      </w:r>
      <w:r w:rsidRPr="00A006D8">
        <w:rPr>
          <w:rFonts w:ascii="Times New Roman" w:hAnsi="Times New Roman"/>
          <w:i/>
          <w:sz w:val="24"/>
        </w:rPr>
        <w:t>rozporządzenie Rady (EWG) Nr 2137/85 z dnia 25 lipca 1985 r. w sprawie europejskiego ugrupowania interesów gospodarczych</w:t>
      </w:r>
      <w:r w:rsidRPr="00A006D8">
        <w:rPr>
          <w:rFonts w:ascii="Times New Roman" w:hAnsi="Times New Roman"/>
          <w:sz w:val="24"/>
        </w:rPr>
        <w:t>) w praktyce obrotu prawnego w państwach członkowskich UE</w:t>
      </w:r>
      <w:r>
        <w:rPr>
          <w:rFonts w:ascii="Times New Roman" w:hAnsi="Times New Roman"/>
          <w:sz w:val="24"/>
        </w:rPr>
        <w:t>. W </w:t>
      </w:r>
      <w:r w:rsidRPr="00A006D8">
        <w:rPr>
          <w:rFonts w:ascii="Times New Roman" w:hAnsi="Times New Roman"/>
          <w:sz w:val="24"/>
        </w:rPr>
        <w:t>Polsce</w:t>
      </w:r>
      <w:r>
        <w:rPr>
          <w:rFonts w:ascii="Times New Roman" w:hAnsi="Times New Roman"/>
          <w:sz w:val="24"/>
        </w:rPr>
        <w:t xml:space="preserve"> np. aktualnie</w:t>
      </w:r>
      <w:r w:rsidRPr="00A006D8">
        <w:rPr>
          <w:rFonts w:ascii="Times New Roman" w:hAnsi="Times New Roman"/>
          <w:sz w:val="24"/>
        </w:rPr>
        <w:t xml:space="preserve"> zarejestrowane są dwie spółki europejskie, brak jest natomiast spółdzielni europejskich</w:t>
      </w:r>
      <w:r>
        <w:rPr>
          <w:rFonts w:ascii="Times New Roman" w:hAnsi="Times New Roman"/>
          <w:sz w:val="24"/>
        </w:rPr>
        <w:t xml:space="preserve"> i EZIG-ów</w:t>
      </w:r>
      <w:r w:rsidRPr="00A006D8">
        <w:rPr>
          <w:rFonts w:ascii="Times New Roman" w:hAnsi="Times New Roman"/>
          <w:sz w:val="24"/>
        </w:rPr>
        <w:t xml:space="preserve">. Brak takiej analizy stwarza ryzyko tworzenia </w:t>
      </w:r>
      <w:r>
        <w:rPr>
          <w:rFonts w:ascii="Times New Roman" w:hAnsi="Times New Roman"/>
          <w:sz w:val="24"/>
        </w:rPr>
        <w:t xml:space="preserve">kolejnej </w:t>
      </w:r>
      <w:r w:rsidRPr="00A006D8">
        <w:rPr>
          <w:rFonts w:ascii="Times New Roman" w:hAnsi="Times New Roman"/>
          <w:sz w:val="24"/>
        </w:rPr>
        <w:t xml:space="preserve">instytucji europejskiego prawa prywatnego, która będzie </w:t>
      </w:r>
      <w:r>
        <w:rPr>
          <w:rFonts w:ascii="Times New Roman" w:hAnsi="Times New Roman"/>
          <w:sz w:val="24"/>
        </w:rPr>
        <w:t xml:space="preserve">„martwa” lub będzie </w:t>
      </w:r>
      <w:r w:rsidRPr="00A006D8">
        <w:rPr>
          <w:rFonts w:ascii="Times New Roman" w:hAnsi="Times New Roman"/>
          <w:sz w:val="24"/>
        </w:rPr>
        <w:t xml:space="preserve">stosowana w </w:t>
      </w:r>
      <w:r>
        <w:rPr>
          <w:rFonts w:ascii="Times New Roman" w:hAnsi="Times New Roman"/>
          <w:sz w:val="24"/>
        </w:rPr>
        <w:t xml:space="preserve">bardzo ograniczonym zakresie, </w:t>
      </w:r>
      <w:r w:rsidRPr="00A006D8">
        <w:rPr>
          <w:rFonts w:ascii="Times New Roman" w:hAnsi="Times New Roman"/>
          <w:sz w:val="24"/>
        </w:rPr>
        <w:t xml:space="preserve">co w konsekwencji podważy legitymację UE do podejmowania dalszych inicjatyw w zakresie integracji europejskiego prawa prywatnego. </w:t>
      </w:r>
    </w:p>
    <w:p w:rsidR="001E5303" w:rsidRPr="00A006D8" w:rsidRDefault="001E5303" w:rsidP="00065B6F">
      <w:pPr>
        <w:pStyle w:val="BodyText"/>
        <w:spacing w:after="0" w:line="240" w:lineRule="auto"/>
        <w:jc w:val="both"/>
        <w:rPr>
          <w:rFonts w:ascii="Times New Roman" w:hAnsi="Times New Roman"/>
          <w:sz w:val="24"/>
        </w:rPr>
      </w:pPr>
    </w:p>
    <w:p w:rsidR="001E5303" w:rsidRDefault="001E5303" w:rsidP="00C522BC">
      <w:pPr>
        <w:pStyle w:val="BodyText"/>
        <w:spacing w:after="0" w:line="360" w:lineRule="auto"/>
        <w:jc w:val="both"/>
        <w:rPr>
          <w:rFonts w:ascii="Times New Roman" w:hAnsi="Times New Roman"/>
          <w:sz w:val="24"/>
        </w:rPr>
      </w:pPr>
      <w:r>
        <w:rPr>
          <w:rFonts w:ascii="Times New Roman" w:hAnsi="Times New Roman"/>
          <w:sz w:val="24"/>
        </w:rPr>
        <w:t>2. Rząd dostrzega potrzebę wprowadzenia rozwiązań, które ułatwiłyby prowadzenie transgranicznej działalności pożytku publicznego na obszarze UE. Wydaje się jednak, że wybrana przez Komisję Europejską opcja stworzenia instytucji fundacji europejskiej nie rozwiąże problemów podmiotów prowadzących działalność</w:t>
      </w:r>
      <w:r w:rsidRPr="000B4085">
        <w:rPr>
          <w:rFonts w:ascii="Times New Roman" w:hAnsi="Times New Roman"/>
          <w:sz w:val="24"/>
        </w:rPr>
        <w:t xml:space="preserve"> pożytku publicznego, n</w:t>
      </w:r>
      <w:r>
        <w:rPr>
          <w:rFonts w:ascii="Times New Roman" w:hAnsi="Times New Roman"/>
          <w:sz w:val="24"/>
        </w:rPr>
        <w:t>iezależnie od ich formy prawnej, w zakresie wynikającym z orzecznictwa Trybunału Sprawiedliwości UE. Zgodnie z postanowieniami</w:t>
      </w:r>
      <w:r w:rsidRPr="000B4085">
        <w:rPr>
          <w:rFonts w:ascii="Times New Roman" w:hAnsi="Times New Roman"/>
          <w:sz w:val="24"/>
        </w:rPr>
        <w:t xml:space="preserve"> </w:t>
      </w:r>
      <w:r>
        <w:rPr>
          <w:rFonts w:ascii="Times New Roman" w:hAnsi="Times New Roman"/>
          <w:sz w:val="24"/>
        </w:rPr>
        <w:t xml:space="preserve">polskiej </w:t>
      </w:r>
      <w:r w:rsidRPr="00BF357E">
        <w:rPr>
          <w:rFonts w:ascii="Times New Roman" w:hAnsi="Times New Roman"/>
          <w:i/>
          <w:sz w:val="24"/>
        </w:rPr>
        <w:t>ustawy dnia 24 kwietnia 2003 r. o działalności pożytku publicznego i o wolontariacie</w:t>
      </w:r>
      <w:r w:rsidRPr="000B4085">
        <w:rPr>
          <w:rFonts w:ascii="Times New Roman" w:hAnsi="Times New Roman"/>
          <w:sz w:val="24"/>
        </w:rPr>
        <w:t xml:space="preserve"> (t. j. Dz.</w:t>
      </w:r>
      <w:r>
        <w:rPr>
          <w:rFonts w:ascii="Times New Roman" w:hAnsi="Times New Roman"/>
          <w:sz w:val="24"/>
        </w:rPr>
        <w:t> </w:t>
      </w:r>
      <w:r w:rsidRPr="000B4085">
        <w:rPr>
          <w:rFonts w:ascii="Times New Roman" w:hAnsi="Times New Roman"/>
          <w:sz w:val="24"/>
        </w:rPr>
        <w:t>U. z 2010</w:t>
      </w:r>
      <w:r>
        <w:rPr>
          <w:rFonts w:ascii="Times New Roman" w:hAnsi="Times New Roman"/>
          <w:sz w:val="24"/>
        </w:rPr>
        <w:t> r.</w:t>
      </w:r>
      <w:r w:rsidRPr="000B4085">
        <w:rPr>
          <w:rFonts w:ascii="Times New Roman" w:hAnsi="Times New Roman"/>
          <w:sz w:val="24"/>
        </w:rPr>
        <w:t xml:space="preserve"> Nr 234, poz.</w:t>
      </w:r>
      <w:r>
        <w:rPr>
          <w:rFonts w:ascii="Times New Roman" w:hAnsi="Times New Roman"/>
          <w:sz w:val="24"/>
        </w:rPr>
        <w:t> </w:t>
      </w:r>
      <w:r w:rsidRPr="000B4085">
        <w:rPr>
          <w:rFonts w:ascii="Times New Roman" w:hAnsi="Times New Roman"/>
          <w:sz w:val="24"/>
        </w:rPr>
        <w:t xml:space="preserve">1536), </w:t>
      </w:r>
      <w:r>
        <w:rPr>
          <w:rFonts w:ascii="Times New Roman" w:hAnsi="Times New Roman"/>
          <w:sz w:val="24"/>
        </w:rPr>
        <w:t xml:space="preserve">działalność organizacji pożytku publicznego w Polsce nie jest ograniczona do fundacji. Mogą ją prowadzić również stowarzyszenia, </w:t>
      </w:r>
      <w:r w:rsidRPr="00D5662E">
        <w:rPr>
          <w:rFonts w:ascii="Times New Roman" w:hAnsi="Times New Roman"/>
          <w:sz w:val="24"/>
          <w:szCs w:val="24"/>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r>
        <w:rPr>
          <w:rFonts w:ascii="Times New Roman" w:hAnsi="Times New Roman"/>
          <w:sz w:val="24"/>
        </w:rPr>
        <w:t xml:space="preserve"> spółdzielnie socjalne, stowarzyszenia samorządu terytorialnego i inne podmioty. W kontekście ewentualnych potrzeb polskiego sektora organizacji pożytku publicznego bardziej adekwatne, w zakresie ułatwienia działalności pożytku publicznego, byłoby – jak się wydaje – wprowadzenie rozwiązań zapewniających uznawanie statusu organizacji</w:t>
      </w:r>
      <w:r w:rsidRPr="000B4085">
        <w:rPr>
          <w:rFonts w:ascii="Times New Roman" w:hAnsi="Times New Roman"/>
          <w:sz w:val="24"/>
        </w:rPr>
        <w:t xml:space="preserve"> pożytku publicznego wszystkim podmiotom, które </w:t>
      </w:r>
      <w:r>
        <w:rPr>
          <w:rFonts w:ascii="Times New Roman" w:hAnsi="Times New Roman"/>
          <w:sz w:val="24"/>
        </w:rPr>
        <w:t xml:space="preserve">posiadają go </w:t>
      </w:r>
      <w:r w:rsidRPr="000B4085">
        <w:rPr>
          <w:rFonts w:ascii="Times New Roman" w:hAnsi="Times New Roman"/>
          <w:sz w:val="24"/>
        </w:rPr>
        <w:t>zgodnie z</w:t>
      </w:r>
      <w:r>
        <w:rPr>
          <w:rFonts w:ascii="Times New Roman" w:hAnsi="Times New Roman"/>
          <w:sz w:val="24"/>
        </w:rPr>
        <w:t> ustawodawstwem</w:t>
      </w:r>
      <w:r w:rsidRPr="000B4085">
        <w:rPr>
          <w:rFonts w:ascii="Times New Roman" w:hAnsi="Times New Roman"/>
          <w:sz w:val="24"/>
        </w:rPr>
        <w:t xml:space="preserve"> </w:t>
      </w:r>
      <w:r>
        <w:rPr>
          <w:rFonts w:ascii="Times New Roman" w:hAnsi="Times New Roman"/>
          <w:sz w:val="24"/>
        </w:rPr>
        <w:t>krajowym.</w:t>
      </w:r>
    </w:p>
    <w:p w:rsidR="001E5303" w:rsidRDefault="001E5303" w:rsidP="00065B6F">
      <w:pPr>
        <w:pStyle w:val="BodyText"/>
        <w:spacing w:after="0" w:line="240" w:lineRule="auto"/>
        <w:jc w:val="both"/>
        <w:rPr>
          <w:rFonts w:ascii="Times New Roman" w:hAnsi="Times New Roman"/>
          <w:sz w:val="24"/>
        </w:rPr>
      </w:pPr>
    </w:p>
    <w:p w:rsidR="001E5303" w:rsidRDefault="001E5303" w:rsidP="00C522BC">
      <w:pPr>
        <w:pStyle w:val="BodyText"/>
        <w:spacing w:after="0" w:line="360" w:lineRule="auto"/>
        <w:jc w:val="both"/>
        <w:rPr>
          <w:rFonts w:ascii="Times New Roman" w:hAnsi="Times New Roman"/>
          <w:sz w:val="24"/>
        </w:rPr>
      </w:pPr>
      <w:r>
        <w:rPr>
          <w:rFonts w:ascii="Times New Roman" w:hAnsi="Times New Roman"/>
          <w:sz w:val="24"/>
        </w:rPr>
        <w:t>3</w:t>
      </w:r>
      <w:r w:rsidRPr="00A006D8">
        <w:rPr>
          <w:rFonts w:ascii="Times New Roman" w:hAnsi="Times New Roman"/>
          <w:sz w:val="24"/>
        </w:rPr>
        <w:t>. Istotnym ograniczenie</w:t>
      </w:r>
      <w:r>
        <w:rPr>
          <w:rFonts w:ascii="Times New Roman" w:hAnsi="Times New Roman"/>
          <w:sz w:val="24"/>
        </w:rPr>
        <w:t>m</w:t>
      </w:r>
      <w:r w:rsidRPr="00A006D8">
        <w:rPr>
          <w:rFonts w:ascii="Times New Roman" w:hAnsi="Times New Roman"/>
          <w:sz w:val="24"/>
        </w:rPr>
        <w:t xml:space="preserve"> w zakresie funkcjonowania nowego podmiotu </w:t>
      </w:r>
      <w:r>
        <w:rPr>
          <w:rFonts w:ascii="Times New Roman" w:hAnsi="Times New Roman"/>
          <w:sz w:val="24"/>
        </w:rPr>
        <w:t xml:space="preserve">europejskiego </w:t>
      </w:r>
      <w:r w:rsidRPr="00A006D8">
        <w:rPr>
          <w:rFonts w:ascii="Times New Roman" w:hAnsi="Times New Roman"/>
          <w:sz w:val="24"/>
        </w:rPr>
        <w:t>prawa prywatnego będzie</w:t>
      </w:r>
      <w:r>
        <w:rPr>
          <w:rFonts w:ascii="Times New Roman" w:hAnsi="Times New Roman"/>
          <w:sz w:val="24"/>
        </w:rPr>
        <w:t xml:space="preserve"> w Polsce</w:t>
      </w:r>
      <w:r w:rsidRPr="00A006D8">
        <w:rPr>
          <w:rFonts w:ascii="Times New Roman" w:hAnsi="Times New Roman"/>
          <w:sz w:val="24"/>
        </w:rPr>
        <w:t xml:space="preserve"> konieczność szerokiego uzupełnienia w prawie krajowym projektowanego rozporządzenia. W tej sytuacji ewentualne korzyści z funkcjonowania jednolitej formy prawnej na gruncie prawa UE będą ograniczone przez </w:t>
      </w:r>
      <w:r>
        <w:rPr>
          <w:rFonts w:ascii="Times New Roman" w:hAnsi="Times New Roman"/>
          <w:sz w:val="24"/>
        </w:rPr>
        <w:t>różnorodność</w:t>
      </w:r>
      <w:r w:rsidRPr="00A006D8">
        <w:rPr>
          <w:rFonts w:ascii="Times New Roman" w:hAnsi="Times New Roman"/>
          <w:sz w:val="24"/>
        </w:rPr>
        <w:t xml:space="preserve"> uzupełniających</w:t>
      </w:r>
      <w:r>
        <w:rPr>
          <w:rFonts w:ascii="Times New Roman" w:hAnsi="Times New Roman"/>
          <w:sz w:val="24"/>
        </w:rPr>
        <w:t xml:space="preserve"> </w:t>
      </w:r>
      <w:r w:rsidRPr="00A006D8">
        <w:rPr>
          <w:rFonts w:ascii="Times New Roman" w:hAnsi="Times New Roman"/>
          <w:sz w:val="24"/>
        </w:rPr>
        <w:t>regulacji przewidzianych w prawie krajowym. W kontekście wprowadzenia do projektu rozbudowanych odesłań do prawa krajowego wątpliw</w:t>
      </w:r>
      <w:r>
        <w:rPr>
          <w:rFonts w:ascii="Times New Roman" w:hAnsi="Times New Roman"/>
          <w:sz w:val="24"/>
        </w:rPr>
        <w:t>a</w:t>
      </w:r>
      <w:r w:rsidRPr="00A006D8">
        <w:rPr>
          <w:rFonts w:ascii="Times New Roman" w:hAnsi="Times New Roman"/>
          <w:sz w:val="24"/>
        </w:rPr>
        <w:t xml:space="preserve"> wydaje się realizacja zamierzeń projektodawców w postaci ograniczenia wydatków fundacji na obsługę prawną i dopełnienie wymogów </w:t>
      </w:r>
      <w:r>
        <w:rPr>
          <w:rFonts w:ascii="Times New Roman" w:hAnsi="Times New Roman"/>
          <w:sz w:val="24"/>
        </w:rPr>
        <w:t>prawno - </w:t>
      </w:r>
      <w:r w:rsidRPr="00A006D8">
        <w:rPr>
          <w:rFonts w:ascii="Times New Roman" w:hAnsi="Times New Roman"/>
          <w:sz w:val="24"/>
        </w:rPr>
        <w:t xml:space="preserve">administracyjnych. </w:t>
      </w:r>
      <w:r>
        <w:rPr>
          <w:rFonts w:ascii="Times New Roman" w:hAnsi="Times New Roman"/>
          <w:sz w:val="24"/>
        </w:rPr>
        <w:t>K</w:t>
      </w:r>
      <w:r w:rsidRPr="00A006D8">
        <w:rPr>
          <w:rFonts w:ascii="Times New Roman" w:hAnsi="Times New Roman"/>
          <w:sz w:val="24"/>
        </w:rPr>
        <w:t xml:space="preserve">oszty te mogą się nawet zwiększyć ze względu na problemy prawne, które nieuchronnie pojawią się na styku projektowanego </w:t>
      </w:r>
      <w:r w:rsidRPr="00256537">
        <w:rPr>
          <w:rFonts w:ascii="Times New Roman" w:hAnsi="Times New Roman"/>
          <w:i/>
          <w:sz w:val="24"/>
        </w:rPr>
        <w:t>rozporządzenia</w:t>
      </w:r>
      <w:r w:rsidRPr="00A006D8">
        <w:rPr>
          <w:rFonts w:ascii="Times New Roman" w:hAnsi="Times New Roman"/>
          <w:sz w:val="24"/>
        </w:rPr>
        <w:t xml:space="preserve"> </w:t>
      </w:r>
      <w:r>
        <w:rPr>
          <w:rFonts w:ascii="Times New Roman" w:hAnsi="Times New Roman"/>
          <w:sz w:val="24"/>
        </w:rPr>
        <w:t>oraz</w:t>
      </w:r>
      <w:r w:rsidRPr="00A006D8">
        <w:rPr>
          <w:rFonts w:ascii="Times New Roman" w:hAnsi="Times New Roman"/>
          <w:sz w:val="24"/>
        </w:rPr>
        <w:t xml:space="preserve"> prawa krajowego. </w:t>
      </w:r>
    </w:p>
    <w:p w:rsidR="001E5303" w:rsidRDefault="001E5303" w:rsidP="00065B6F">
      <w:pPr>
        <w:pStyle w:val="BodyText"/>
        <w:spacing w:after="0" w:line="240" w:lineRule="auto"/>
        <w:jc w:val="both"/>
        <w:rPr>
          <w:rFonts w:ascii="Times New Roman" w:hAnsi="Times New Roman"/>
          <w:sz w:val="24"/>
        </w:rPr>
      </w:pPr>
    </w:p>
    <w:p w:rsidR="001E5303" w:rsidRPr="000B4085" w:rsidRDefault="001E5303" w:rsidP="00C522BC">
      <w:pPr>
        <w:pStyle w:val="BodyText"/>
        <w:spacing w:after="0" w:line="360" w:lineRule="auto"/>
        <w:jc w:val="both"/>
        <w:rPr>
          <w:rFonts w:ascii="Times New Roman" w:hAnsi="Times New Roman"/>
          <w:sz w:val="24"/>
        </w:rPr>
      </w:pPr>
      <w:r>
        <w:rPr>
          <w:rFonts w:ascii="Times New Roman" w:hAnsi="Times New Roman"/>
          <w:sz w:val="24"/>
        </w:rPr>
        <w:t xml:space="preserve">4. </w:t>
      </w:r>
      <w:r w:rsidRPr="00C617D8">
        <w:rPr>
          <w:rFonts w:ascii="Times New Roman" w:hAnsi="Times New Roman"/>
          <w:sz w:val="24"/>
        </w:rPr>
        <w:t>Bard</w:t>
      </w:r>
      <w:r>
        <w:rPr>
          <w:rFonts w:ascii="Times New Roman" w:hAnsi="Times New Roman"/>
          <w:sz w:val="24"/>
        </w:rPr>
        <w:t>zo istotnym ograniczeniem, które</w:t>
      </w:r>
      <w:r w:rsidRPr="00C617D8">
        <w:rPr>
          <w:rFonts w:ascii="Times New Roman" w:hAnsi="Times New Roman"/>
          <w:sz w:val="24"/>
        </w:rPr>
        <w:t xml:space="preserve"> </w:t>
      </w:r>
      <w:r>
        <w:rPr>
          <w:rFonts w:ascii="Times New Roman" w:hAnsi="Times New Roman"/>
          <w:sz w:val="24"/>
        </w:rPr>
        <w:t xml:space="preserve">może </w:t>
      </w:r>
      <w:r w:rsidRPr="00C617D8">
        <w:rPr>
          <w:rFonts w:ascii="Times New Roman" w:hAnsi="Times New Roman"/>
          <w:sz w:val="24"/>
        </w:rPr>
        <w:t>utrudni</w:t>
      </w:r>
      <w:r>
        <w:rPr>
          <w:rFonts w:ascii="Times New Roman" w:hAnsi="Times New Roman"/>
          <w:sz w:val="24"/>
        </w:rPr>
        <w:t>ć</w:t>
      </w:r>
      <w:r w:rsidRPr="00C617D8">
        <w:rPr>
          <w:rFonts w:ascii="Times New Roman" w:hAnsi="Times New Roman"/>
          <w:sz w:val="24"/>
        </w:rPr>
        <w:t xml:space="preserve"> lub wręcz uniemożliwi</w:t>
      </w:r>
      <w:r>
        <w:rPr>
          <w:rFonts w:ascii="Times New Roman" w:hAnsi="Times New Roman"/>
          <w:sz w:val="24"/>
        </w:rPr>
        <w:t>ć</w:t>
      </w:r>
      <w:r w:rsidRPr="00C617D8">
        <w:rPr>
          <w:rFonts w:ascii="Times New Roman" w:hAnsi="Times New Roman"/>
          <w:sz w:val="24"/>
        </w:rPr>
        <w:t xml:space="preserve"> </w:t>
      </w:r>
      <w:r>
        <w:rPr>
          <w:rFonts w:ascii="Times New Roman" w:hAnsi="Times New Roman"/>
          <w:sz w:val="24"/>
        </w:rPr>
        <w:t xml:space="preserve">w warunkach polskich korzystanie z formy fundacji europejskiej, </w:t>
      </w:r>
      <w:r w:rsidRPr="00C617D8">
        <w:rPr>
          <w:rFonts w:ascii="Times New Roman" w:hAnsi="Times New Roman"/>
          <w:sz w:val="24"/>
        </w:rPr>
        <w:t xml:space="preserve">jest </w:t>
      </w:r>
      <w:r>
        <w:rPr>
          <w:rFonts w:ascii="Times New Roman" w:hAnsi="Times New Roman"/>
          <w:sz w:val="24"/>
        </w:rPr>
        <w:t xml:space="preserve">proponowany bardzo </w:t>
      </w:r>
      <w:r w:rsidRPr="00C617D8">
        <w:rPr>
          <w:rFonts w:ascii="Times New Roman" w:hAnsi="Times New Roman"/>
          <w:sz w:val="24"/>
        </w:rPr>
        <w:t>wysoki</w:t>
      </w:r>
      <w:r>
        <w:rPr>
          <w:rFonts w:ascii="Times New Roman" w:hAnsi="Times New Roman"/>
          <w:sz w:val="24"/>
        </w:rPr>
        <w:t xml:space="preserve"> minimalny</w:t>
      </w:r>
      <w:r w:rsidRPr="00C617D8">
        <w:rPr>
          <w:rFonts w:ascii="Times New Roman" w:hAnsi="Times New Roman"/>
          <w:sz w:val="24"/>
        </w:rPr>
        <w:t xml:space="preserve"> pr</w:t>
      </w:r>
      <w:r>
        <w:rPr>
          <w:rFonts w:ascii="Times New Roman" w:hAnsi="Times New Roman"/>
          <w:sz w:val="24"/>
        </w:rPr>
        <w:t>óg</w:t>
      </w:r>
      <w:r w:rsidRPr="00C617D8">
        <w:rPr>
          <w:rFonts w:ascii="Times New Roman" w:hAnsi="Times New Roman"/>
          <w:sz w:val="24"/>
        </w:rPr>
        <w:t xml:space="preserve"> aktywów założycielskich, koniecznych do ut</w:t>
      </w:r>
      <w:r>
        <w:rPr>
          <w:rFonts w:ascii="Times New Roman" w:hAnsi="Times New Roman"/>
          <w:sz w:val="24"/>
        </w:rPr>
        <w:t>worzenia fundacji europejskiej. F</w:t>
      </w:r>
      <w:r w:rsidRPr="000B4085">
        <w:rPr>
          <w:rFonts w:ascii="Times New Roman" w:hAnsi="Times New Roman"/>
          <w:sz w:val="24"/>
        </w:rPr>
        <w:t xml:space="preserve">undacje </w:t>
      </w:r>
      <w:r>
        <w:rPr>
          <w:rFonts w:ascii="Times New Roman" w:hAnsi="Times New Roman"/>
          <w:sz w:val="24"/>
        </w:rPr>
        <w:t>działające w Polsce</w:t>
      </w:r>
      <w:r w:rsidRPr="000B4085">
        <w:rPr>
          <w:rFonts w:ascii="Times New Roman" w:hAnsi="Times New Roman"/>
          <w:sz w:val="24"/>
        </w:rPr>
        <w:t xml:space="preserve"> na podstawie </w:t>
      </w:r>
      <w:r w:rsidRPr="0058478A">
        <w:rPr>
          <w:rFonts w:ascii="Times New Roman" w:hAnsi="Times New Roman"/>
          <w:i/>
          <w:sz w:val="24"/>
        </w:rPr>
        <w:t>ustawy o fundacjach z dnia 6 kwietnia 1984 r.</w:t>
      </w:r>
      <w:r w:rsidRPr="000B4085">
        <w:rPr>
          <w:rFonts w:ascii="Times New Roman" w:hAnsi="Times New Roman"/>
          <w:sz w:val="24"/>
        </w:rPr>
        <w:t xml:space="preserve"> (t. j. Dz. U. z 1991 r., Nr 46, poz.</w:t>
      </w:r>
      <w:r>
        <w:rPr>
          <w:rFonts w:ascii="Times New Roman" w:hAnsi="Times New Roman"/>
          <w:sz w:val="24"/>
        </w:rPr>
        <w:t> </w:t>
      </w:r>
      <w:r w:rsidRPr="000B4085">
        <w:rPr>
          <w:rFonts w:ascii="Times New Roman" w:hAnsi="Times New Roman"/>
          <w:sz w:val="24"/>
        </w:rPr>
        <w:t>203) w przeważającej większości przypadków wyposażane są przez fundator</w:t>
      </w:r>
      <w:r>
        <w:rPr>
          <w:rFonts w:ascii="Times New Roman" w:hAnsi="Times New Roman"/>
          <w:sz w:val="24"/>
        </w:rPr>
        <w:t>ów</w:t>
      </w:r>
      <w:r w:rsidRPr="000B4085">
        <w:rPr>
          <w:rFonts w:ascii="Times New Roman" w:hAnsi="Times New Roman"/>
          <w:sz w:val="24"/>
        </w:rPr>
        <w:t xml:space="preserve"> w składniki majątkowe stanowiące niewielkie kwoty (zazwyczaj kilkaset złotych), zaś w fundacjach, które mają prowadzić działalność gospodarczą, </w:t>
      </w:r>
      <w:r>
        <w:rPr>
          <w:rFonts w:ascii="Times New Roman" w:hAnsi="Times New Roman"/>
          <w:sz w:val="24"/>
        </w:rPr>
        <w:t>minimalną wartością</w:t>
      </w:r>
      <w:r w:rsidRPr="000B4085">
        <w:rPr>
          <w:rFonts w:ascii="Times New Roman" w:hAnsi="Times New Roman"/>
          <w:sz w:val="24"/>
        </w:rPr>
        <w:t xml:space="preserve"> środków majątkowych przeznaczonych na </w:t>
      </w:r>
      <w:r>
        <w:rPr>
          <w:rFonts w:ascii="Times New Roman" w:hAnsi="Times New Roman"/>
          <w:sz w:val="24"/>
        </w:rPr>
        <w:t>ich</w:t>
      </w:r>
      <w:r w:rsidRPr="000B4085">
        <w:rPr>
          <w:rFonts w:ascii="Times New Roman" w:hAnsi="Times New Roman"/>
          <w:sz w:val="24"/>
        </w:rPr>
        <w:t xml:space="preserve"> działalność </w:t>
      </w:r>
      <w:r>
        <w:rPr>
          <w:rFonts w:ascii="Times New Roman" w:hAnsi="Times New Roman"/>
          <w:sz w:val="24"/>
        </w:rPr>
        <w:t>jest</w:t>
      </w:r>
      <w:r w:rsidRPr="000B4085">
        <w:rPr>
          <w:rFonts w:ascii="Times New Roman" w:hAnsi="Times New Roman"/>
          <w:sz w:val="24"/>
        </w:rPr>
        <w:t xml:space="preserve"> 1000 złotych. </w:t>
      </w:r>
      <w:r>
        <w:rPr>
          <w:rFonts w:ascii="Times New Roman" w:hAnsi="Times New Roman"/>
          <w:sz w:val="24"/>
        </w:rPr>
        <w:t>Zważywszy</w:t>
      </w:r>
      <w:r w:rsidRPr="000B4085">
        <w:rPr>
          <w:rFonts w:ascii="Times New Roman" w:hAnsi="Times New Roman"/>
          <w:sz w:val="24"/>
        </w:rPr>
        <w:t>, że aktywa założycielskie fundacji europejskiej wynosić mają minimum 25 000 euro</w:t>
      </w:r>
      <w:r>
        <w:rPr>
          <w:rFonts w:ascii="Times New Roman" w:hAnsi="Times New Roman"/>
          <w:sz w:val="24"/>
        </w:rPr>
        <w:t xml:space="preserve">, okoliczność ta stanowić będzie bardzo istotne ograniczenie w tworzeniu czy przekształcaniu się przez polskie podmioty </w:t>
      </w:r>
      <w:r w:rsidRPr="000B4085">
        <w:rPr>
          <w:rFonts w:ascii="Times New Roman" w:hAnsi="Times New Roman"/>
          <w:sz w:val="24"/>
        </w:rPr>
        <w:t xml:space="preserve">w </w:t>
      </w:r>
      <w:r>
        <w:rPr>
          <w:rFonts w:ascii="Times New Roman" w:hAnsi="Times New Roman"/>
          <w:sz w:val="24"/>
        </w:rPr>
        <w:t>nową</w:t>
      </w:r>
      <w:r w:rsidRPr="000B4085">
        <w:rPr>
          <w:rFonts w:ascii="Times New Roman" w:hAnsi="Times New Roman"/>
          <w:sz w:val="24"/>
        </w:rPr>
        <w:t xml:space="preserve"> </w:t>
      </w:r>
      <w:r>
        <w:rPr>
          <w:rFonts w:ascii="Times New Roman" w:hAnsi="Times New Roman"/>
          <w:sz w:val="24"/>
        </w:rPr>
        <w:t xml:space="preserve">formę prawną. Wprawdzie wyposażenie fundacji europejskiej w aktywa odpowiadające potrzebom transgranicznej działalności jest niezbędne, jednakże ich wysokość należy określić na takim poziomie, aby forma fundacji europejskiej była dostępna dla podmiotów ze wszystkich państw członkowskich UE. </w:t>
      </w:r>
    </w:p>
    <w:p w:rsidR="001E5303" w:rsidRPr="000B4085" w:rsidRDefault="001E5303" w:rsidP="00065B6F">
      <w:pPr>
        <w:pStyle w:val="BodyText"/>
        <w:spacing w:after="0" w:line="240" w:lineRule="auto"/>
        <w:jc w:val="both"/>
        <w:rPr>
          <w:rFonts w:ascii="Times New Roman" w:hAnsi="Times New Roman"/>
          <w:sz w:val="24"/>
        </w:rPr>
      </w:pPr>
    </w:p>
    <w:p w:rsidR="001E5303" w:rsidRPr="004978EB" w:rsidRDefault="001E5303" w:rsidP="00C522BC">
      <w:pPr>
        <w:pStyle w:val="BodyText"/>
        <w:spacing w:after="0" w:line="360" w:lineRule="auto"/>
        <w:jc w:val="both"/>
        <w:rPr>
          <w:rFonts w:ascii="Times New Roman" w:hAnsi="Times New Roman"/>
          <w:sz w:val="24"/>
        </w:rPr>
      </w:pPr>
      <w:r>
        <w:rPr>
          <w:rFonts w:ascii="Times New Roman" w:hAnsi="Times New Roman"/>
          <w:sz w:val="24"/>
        </w:rPr>
        <w:t>5. Zgodnie z projektowanym</w:t>
      </w:r>
      <w:r w:rsidRPr="000B4085">
        <w:rPr>
          <w:rFonts w:ascii="Times New Roman" w:hAnsi="Times New Roman"/>
          <w:sz w:val="24"/>
        </w:rPr>
        <w:t xml:space="preserve"> </w:t>
      </w:r>
      <w:r w:rsidRPr="005F1AC3">
        <w:rPr>
          <w:rFonts w:ascii="Times New Roman" w:hAnsi="Times New Roman"/>
          <w:i/>
          <w:sz w:val="24"/>
        </w:rPr>
        <w:t>rozporządzeni</w:t>
      </w:r>
      <w:r>
        <w:rPr>
          <w:rFonts w:ascii="Times New Roman" w:hAnsi="Times New Roman"/>
          <w:i/>
          <w:sz w:val="24"/>
        </w:rPr>
        <w:t>em</w:t>
      </w:r>
      <w:r w:rsidRPr="000B4085">
        <w:rPr>
          <w:rFonts w:ascii="Times New Roman" w:hAnsi="Times New Roman"/>
          <w:sz w:val="24"/>
        </w:rPr>
        <w:t xml:space="preserve">, każda fundacja europejska, już w momencie jej </w:t>
      </w:r>
      <w:r>
        <w:rPr>
          <w:rFonts w:ascii="Times New Roman" w:hAnsi="Times New Roman"/>
          <w:sz w:val="24"/>
        </w:rPr>
        <w:t>utworzenia</w:t>
      </w:r>
      <w:r w:rsidRPr="000B4085">
        <w:rPr>
          <w:rFonts w:ascii="Times New Roman" w:hAnsi="Times New Roman"/>
          <w:sz w:val="24"/>
        </w:rPr>
        <w:t xml:space="preserve">, </w:t>
      </w:r>
      <w:r>
        <w:rPr>
          <w:rFonts w:ascii="Times New Roman" w:hAnsi="Times New Roman"/>
          <w:sz w:val="24"/>
        </w:rPr>
        <w:t>będzie</w:t>
      </w:r>
      <w:r w:rsidRPr="000B4085">
        <w:rPr>
          <w:rFonts w:ascii="Times New Roman" w:hAnsi="Times New Roman"/>
          <w:sz w:val="24"/>
        </w:rPr>
        <w:t xml:space="preserve"> podmiotem pożytku publicznego (art.</w:t>
      </w:r>
      <w:r>
        <w:rPr>
          <w:rFonts w:ascii="Times New Roman" w:hAnsi="Times New Roman"/>
          <w:sz w:val="24"/>
        </w:rPr>
        <w:t xml:space="preserve"> </w:t>
      </w:r>
      <w:r w:rsidRPr="000B4085">
        <w:rPr>
          <w:rFonts w:ascii="Times New Roman" w:hAnsi="Times New Roman"/>
          <w:sz w:val="24"/>
        </w:rPr>
        <w:t>5 pkt 1</w:t>
      </w:r>
      <w:r>
        <w:rPr>
          <w:rFonts w:ascii="Times New Roman" w:hAnsi="Times New Roman"/>
          <w:sz w:val="24"/>
        </w:rPr>
        <w:t xml:space="preserve"> </w:t>
      </w:r>
      <w:r>
        <w:rPr>
          <w:rFonts w:ascii="Times New Roman" w:hAnsi="Times New Roman"/>
          <w:i/>
          <w:sz w:val="24"/>
        </w:rPr>
        <w:t>rozporządzenia</w:t>
      </w:r>
      <w:r>
        <w:rPr>
          <w:rFonts w:ascii="Times New Roman" w:hAnsi="Times New Roman"/>
          <w:sz w:val="24"/>
        </w:rPr>
        <w:t xml:space="preserve">) i korzystać będzie (a także jej darczyńcy) automatycznie z </w:t>
      </w:r>
      <w:r w:rsidRPr="000B4085">
        <w:rPr>
          <w:rFonts w:ascii="Times New Roman" w:hAnsi="Times New Roman"/>
          <w:sz w:val="24"/>
        </w:rPr>
        <w:t xml:space="preserve">tych samych </w:t>
      </w:r>
      <w:r>
        <w:rPr>
          <w:rFonts w:ascii="Times New Roman" w:hAnsi="Times New Roman"/>
          <w:sz w:val="24"/>
        </w:rPr>
        <w:t>ułatwień</w:t>
      </w:r>
      <w:r w:rsidRPr="000B4085">
        <w:rPr>
          <w:rFonts w:ascii="Times New Roman" w:hAnsi="Times New Roman"/>
          <w:sz w:val="24"/>
        </w:rPr>
        <w:t xml:space="preserve"> podatkowych, które są </w:t>
      </w:r>
      <w:r>
        <w:rPr>
          <w:rFonts w:ascii="Times New Roman" w:hAnsi="Times New Roman"/>
          <w:sz w:val="24"/>
        </w:rPr>
        <w:t>przyznawane</w:t>
      </w:r>
      <w:r w:rsidRPr="000B4085">
        <w:rPr>
          <w:rFonts w:ascii="Times New Roman" w:hAnsi="Times New Roman"/>
          <w:sz w:val="24"/>
        </w:rPr>
        <w:t xml:space="preserve"> krajowym </w:t>
      </w:r>
      <w:r>
        <w:rPr>
          <w:rFonts w:ascii="Times New Roman" w:hAnsi="Times New Roman"/>
          <w:sz w:val="24"/>
        </w:rPr>
        <w:t>podmiotom</w:t>
      </w:r>
      <w:r w:rsidRPr="000B4085">
        <w:rPr>
          <w:rFonts w:ascii="Times New Roman" w:hAnsi="Times New Roman"/>
          <w:sz w:val="24"/>
        </w:rPr>
        <w:t xml:space="preserve"> pożytku publicznego. </w:t>
      </w:r>
      <w:r>
        <w:rPr>
          <w:rFonts w:ascii="Times New Roman" w:hAnsi="Times New Roman"/>
          <w:sz w:val="24"/>
        </w:rPr>
        <w:t>Tymczasem z</w:t>
      </w:r>
      <w:r w:rsidRPr="000B4085">
        <w:rPr>
          <w:rFonts w:ascii="Times New Roman" w:hAnsi="Times New Roman"/>
          <w:sz w:val="24"/>
        </w:rPr>
        <w:t xml:space="preserve">godnie z art. 22 ust. 1 </w:t>
      </w:r>
      <w:r w:rsidRPr="005F1AC3">
        <w:rPr>
          <w:rFonts w:ascii="Times New Roman" w:hAnsi="Times New Roman"/>
          <w:i/>
          <w:sz w:val="24"/>
        </w:rPr>
        <w:t>ustawy dnia 24 kwietnia 2003 r. o działalności pożytku publicznego i</w:t>
      </w:r>
      <w:r>
        <w:rPr>
          <w:rFonts w:ascii="Times New Roman" w:hAnsi="Times New Roman"/>
          <w:i/>
          <w:sz w:val="24"/>
        </w:rPr>
        <w:t> </w:t>
      </w:r>
      <w:r w:rsidRPr="005F1AC3">
        <w:rPr>
          <w:rFonts w:ascii="Times New Roman" w:hAnsi="Times New Roman"/>
          <w:i/>
          <w:sz w:val="24"/>
        </w:rPr>
        <w:t>o</w:t>
      </w:r>
      <w:r>
        <w:rPr>
          <w:rFonts w:ascii="Times New Roman" w:hAnsi="Times New Roman"/>
          <w:i/>
          <w:sz w:val="24"/>
        </w:rPr>
        <w:t> </w:t>
      </w:r>
      <w:r w:rsidRPr="005F1AC3">
        <w:rPr>
          <w:rFonts w:ascii="Times New Roman" w:hAnsi="Times New Roman"/>
          <w:i/>
          <w:sz w:val="24"/>
        </w:rPr>
        <w:t>wolontariacie</w:t>
      </w:r>
      <w:r w:rsidRPr="000B4085">
        <w:rPr>
          <w:rFonts w:ascii="Times New Roman" w:hAnsi="Times New Roman"/>
          <w:sz w:val="24"/>
        </w:rPr>
        <w:t xml:space="preserve">, </w:t>
      </w:r>
      <w:r>
        <w:rPr>
          <w:rFonts w:ascii="Times New Roman" w:hAnsi="Times New Roman"/>
          <w:sz w:val="24"/>
        </w:rPr>
        <w:t xml:space="preserve">krajowa </w:t>
      </w:r>
      <w:r w:rsidRPr="000B4085">
        <w:rPr>
          <w:rFonts w:ascii="Times New Roman" w:hAnsi="Times New Roman"/>
          <w:sz w:val="24"/>
        </w:rPr>
        <w:t xml:space="preserve">organizacja pozarządowa </w:t>
      </w:r>
      <w:r>
        <w:rPr>
          <w:rFonts w:ascii="Times New Roman" w:hAnsi="Times New Roman"/>
          <w:sz w:val="24"/>
        </w:rPr>
        <w:t xml:space="preserve">może </w:t>
      </w:r>
      <w:r w:rsidRPr="000B4085">
        <w:rPr>
          <w:rFonts w:ascii="Times New Roman" w:hAnsi="Times New Roman"/>
          <w:sz w:val="24"/>
        </w:rPr>
        <w:t>uzyskać status organizacji pożytku publicznego pod warunkiem, że działalność</w:t>
      </w:r>
      <w:r>
        <w:rPr>
          <w:rFonts w:ascii="Times New Roman" w:hAnsi="Times New Roman"/>
          <w:sz w:val="24"/>
        </w:rPr>
        <w:t xml:space="preserve"> pożytku publicznego</w:t>
      </w:r>
      <w:r w:rsidRPr="000B4085">
        <w:rPr>
          <w:rFonts w:ascii="Times New Roman" w:hAnsi="Times New Roman"/>
          <w:sz w:val="24"/>
        </w:rPr>
        <w:t xml:space="preserve"> jest </w:t>
      </w:r>
      <w:r>
        <w:rPr>
          <w:rFonts w:ascii="Times New Roman" w:hAnsi="Times New Roman"/>
          <w:sz w:val="24"/>
        </w:rPr>
        <w:t xml:space="preserve">prowadzona przez nią </w:t>
      </w:r>
      <w:r w:rsidRPr="000B4085">
        <w:rPr>
          <w:rFonts w:ascii="Times New Roman" w:hAnsi="Times New Roman"/>
          <w:sz w:val="24"/>
        </w:rPr>
        <w:t xml:space="preserve">nieprzerwanie przez co najmniej </w:t>
      </w:r>
      <w:r>
        <w:rPr>
          <w:rFonts w:ascii="Times New Roman" w:hAnsi="Times New Roman"/>
          <w:sz w:val="24"/>
        </w:rPr>
        <w:t>dwa</w:t>
      </w:r>
      <w:r w:rsidRPr="000B4085">
        <w:rPr>
          <w:rFonts w:ascii="Times New Roman" w:hAnsi="Times New Roman"/>
          <w:sz w:val="24"/>
        </w:rPr>
        <w:t xml:space="preserve"> lata.</w:t>
      </w:r>
      <w:r>
        <w:rPr>
          <w:rFonts w:ascii="Times New Roman" w:hAnsi="Times New Roman"/>
          <w:sz w:val="24"/>
        </w:rPr>
        <w:t xml:space="preserve"> Ponadto na gruncie prawa polskiego przed</w:t>
      </w:r>
      <w:r w:rsidRPr="000B4085">
        <w:rPr>
          <w:rFonts w:ascii="Times New Roman" w:hAnsi="Times New Roman"/>
          <w:sz w:val="24"/>
        </w:rPr>
        <w:t xml:space="preserve"> uzyskaniem </w:t>
      </w:r>
      <w:r>
        <w:rPr>
          <w:rFonts w:ascii="Times New Roman" w:hAnsi="Times New Roman"/>
          <w:sz w:val="24"/>
        </w:rPr>
        <w:t>statusu</w:t>
      </w:r>
      <w:r w:rsidRPr="000B4085">
        <w:rPr>
          <w:rFonts w:ascii="Times New Roman" w:hAnsi="Times New Roman"/>
          <w:sz w:val="24"/>
        </w:rPr>
        <w:t xml:space="preserve"> organizacji pożytku publicznego </w:t>
      </w:r>
      <w:r>
        <w:rPr>
          <w:rFonts w:ascii="Times New Roman" w:hAnsi="Times New Roman"/>
          <w:sz w:val="24"/>
        </w:rPr>
        <w:t xml:space="preserve">dany </w:t>
      </w:r>
      <w:r w:rsidRPr="000B4085">
        <w:rPr>
          <w:rFonts w:ascii="Times New Roman" w:hAnsi="Times New Roman"/>
          <w:sz w:val="24"/>
        </w:rPr>
        <w:t xml:space="preserve">podmiot musi spełnić szereg </w:t>
      </w:r>
      <w:r>
        <w:rPr>
          <w:rFonts w:ascii="Times New Roman" w:hAnsi="Times New Roman"/>
          <w:sz w:val="24"/>
        </w:rPr>
        <w:t xml:space="preserve">innych </w:t>
      </w:r>
      <w:r w:rsidRPr="000B4085">
        <w:rPr>
          <w:rFonts w:ascii="Times New Roman" w:hAnsi="Times New Roman"/>
          <w:sz w:val="24"/>
        </w:rPr>
        <w:t xml:space="preserve">wymagań określonych przepisami </w:t>
      </w:r>
      <w:r>
        <w:rPr>
          <w:rFonts w:ascii="Times New Roman" w:hAnsi="Times New Roman"/>
          <w:sz w:val="24"/>
        </w:rPr>
        <w:t>ww. </w:t>
      </w:r>
      <w:r w:rsidRPr="00155D81">
        <w:rPr>
          <w:rFonts w:ascii="Times New Roman" w:hAnsi="Times New Roman"/>
          <w:i/>
          <w:sz w:val="24"/>
        </w:rPr>
        <w:t>ustawy</w:t>
      </w:r>
      <w:r w:rsidRPr="000B4085">
        <w:rPr>
          <w:rFonts w:ascii="Times New Roman" w:hAnsi="Times New Roman"/>
          <w:sz w:val="24"/>
        </w:rPr>
        <w:t xml:space="preserve">. </w:t>
      </w:r>
      <w:r>
        <w:rPr>
          <w:rFonts w:ascii="Times New Roman" w:hAnsi="Times New Roman"/>
          <w:sz w:val="24"/>
        </w:rPr>
        <w:t>Zgodnie zatem z prawem polskim</w:t>
      </w:r>
      <w:r w:rsidRPr="000B4085">
        <w:rPr>
          <w:rFonts w:ascii="Times New Roman" w:hAnsi="Times New Roman"/>
          <w:sz w:val="24"/>
        </w:rPr>
        <w:t xml:space="preserve"> zanim konkretnemu podmiotowi zostanie przyznany status organizacj</w:t>
      </w:r>
      <w:r>
        <w:rPr>
          <w:rFonts w:ascii="Times New Roman" w:hAnsi="Times New Roman"/>
          <w:sz w:val="24"/>
        </w:rPr>
        <w:t>i pożytku publicznego, konieczne jest, by</w:t>
      </w:r>
      <w:r w:rsidRPr="000B4085">
        <w:rPr>
          <w:rFonts w:ascii="Times New Roman" w:hAnsi="Times New Roman"/>
          <w:sz w:val="24"/>
        </w:rPr>
        <w:t xml:space="preserve"> </w:t>
      </w:r>
      <w:r>
        <w:rPr>
          <w:rFonts w:ascii="Times New Roman" w:hAnsi="Times New Roman"/>
          <w:sz w:val="24"/>
        </w:rPr>
        <w:t>wykazał się elementarną wiarygodnością i doświadczeniem w prowadzeniu takiej działalności. W tym kontekście istnieje obawa, że p</w:t>
      </w:r>
      <w:r w:rsidRPr="000B4085">
        <w:rPr>
          <w:rFonts w:ascii="Times New Roman" w:hAnsi="Times New Roman"/>
          <w:sz w:val="24"/>
        </w:rPr>
        <w:t>rzyjęcie proponowanego rozwiązania</w:t>
      </w:r>
      <w:r>
        <w:rPr>
          <w:rFonts w:ascii="Times New Roman" w:hAnsi="Times New Roman"/>
          <w:sz w:val="24"/>
        </w:rPr>
        <w:t xml:space="preserve"> może prowadzić do wykorzystywania formy prawnej fundacji europejskiej w celu omijania wymogów w zakresie przyznawania statusu organizacji pożytku publicznego na gruncie prawa polskiego</w:t>
      </w:r>
      <w:r w:rsidRPr="000B4085">
        <w:rPr>
          <w:rFonts w:ascii="Times New Roman" w:hAnsi="Times New Roman"/>
          <w:sz w:val="24"/>
        </w:rPr>
        <w:t>.</w:t>
      </w:r>
      <w:r>
        <w:rPr>
          <w:rFonts w:ascii="Times New Roman" w:hAnsi="Times New Roman"/>
          <w:sz w:val="24"/>
        </w:rPr>
        <w:t xml:space="preserve"> Aby zminimalizować możliwość takich nadużyć, celowe wydaje się doprecyzowanie przepisów, które wymagają od fundacji europejskiej prowadzenia działalności transgranicznej i pozwalają na egzekwowanie tego wymogu. Nadto pogłębionej analizy wymaga czy fundacja europejska powstająca </w:t>
      </w:r>
      <w:r w:rsidRPr="004978EB">
        <w:rPr>
          <w:rFonts w:ascii="Times New Roman" w:hAnsi="Times New Roman"/>
          <w:i/>
          <w:sz w:val="24"/>
        </w:rPr>
        <w:t xml:space="preserve">ex nihilo </w:t>
      </w:r>
      <w:r w:rsidRPr="004978EB">
        <w:rPr>
          <w:rFonts w:ascii="Times New Roman" w:hAnsi="Times New Roman"/>
          <w:sz w:val="24"/>
        </w:rPr>
        <w:t xml:space="preserve">powinna </w:t>
      </w:r>
      <w:r>
        <w:rPr>
          <w:rFonts w:ascii="Times New Roman" w:hAnsi="Times New Roman"/>
          <w:sz w:val="24"/>
        </w:rPr>
        <w:t>posiadać</w:t>
      </w:r>
      <w:r w:rsidRPr="004978EB">
        <w:rPr>
          <w:rFonts w:ascii="Times New Roman" w:hAnsi="Times New Roman"/>
          <w:sz w:val="24"/>
        </w:rPr>
        <w:t xml:space="preserve"> status podmiotu pożytku publicznego </w:t>
      </w:r>
      <w:r>
        <w:rPr>
          <w:rFonts w:ascii="Times New Roman" w:hAnsi="Times New Roman"/>
          <w:sz w:val="24"/>
        </w:rPr>
        <w:t xml:space="preserve">już </w:t>
      </w:r>
      <w:r w:rsidRPr="004978EB">
        <w:rPr>
          <w:rFonts w:ascii="Times New Roman" w:hAnsi="Times New Roman"/>
          <w:sz w:val="24"/>
        </w:rPr>
        <w:t xml:space="preserve">od momentu </w:t>
      </w:r>
      <w:r>
        <w:rPr>
          <w:rFonts w:ascii="Times New Roman" w:hAnsi="Times New Roman"/>
          <w:sz w:val="24"/>
        </w:rPr>
        <w:t xml:space="preserve">jej </w:t>
      </w:r>
      <w:r w:rsidRPr="004978EB">
        <w:rPr>
          <w:rFonts w:ascii="Times New Roman" w:hAnsi="Times New Roman"/>
          <w:sz w:val="24"/>
        </w:rPr>
        <w:t>powstania</w:t>
      </w:r>
      <w:r>
        <w:rPr>
          <w:rFonts w:ascii="Times New Roman" w:hAnsi="Times New Roman"/>
          <w:sz w:val="24"/>
        </w:rPr>
        <w:t xml:space="preserve"> (problem ten nie będzie dotyczył FE powstałej w wyniku połączenia lub przekształcenia się z działającego już podmiotu pożytku publicznego). </w:t>
      </w:r>
    </w:p>
    <w:p w:rsidR="001E5303" w:rsidRPr="004978EB" w:rsidRDefault="001E5303" w:rsidP="00065B6F">
      <w:pPr>
        <w:pStyle w:val="BodyText"/>
        <w:spacing w:after="0" w:line="240" w:lineRule="auto"/>
        <w:jc w:val="both"/>
        <w:rPr>
          <w:rFonts w:ascii="Times New Roman" w:hAnsi="Times New Roman"/>
          <w:i/>
          <w:sz w:val="24"/>
        </w:rPr>
      </w:pPr>
    </w:p>
    <w:p w:rsidR="001E5303" w:rsidRDefault="001E5303" w:rsidP="00C522BC">
      <w:pPr>
        <w:pStyle w:val="BodyText"/>
        <w:spacing w:after="0" w:line="360" w:lineRule="auto"/>
        <w:jc w:val="both"/>
        <w:rPr>
          <w:rFonts w:ascii="Times New Roman" w:hAnsi="Times New Roman"/>
          <w:sz w:val="24"/>
        </w:rPr>
      </w:pPr>
      <w:r>
        <w:rPr>
          <w:rFonts w:ascii="Times New Roman" w:hAnsi="Times New Roman"/>
          <w:sz w:val="24"/>
        </w:rPr>
        <w:t>6. Obecnie zagraniczne podmioty zainteresowane prowadzeniem działalności pożytku publicznego w Polsce tworzyły w tym celu fundacje w Polsce lub otwierały tu swoje przedstawicielstwa. Zapewniało to polskim organom efektywny nadzór nad tymi podmiotami. Przyjęcie rozporządzenia może doprowadzić do zmiany tej praktyki: istnieje duże prawdopodobieństwo, że znacząca liczba podmiotów zagranicznych, dla celów prowadzenia działalności pożytku publicznego w Polsce, będzie tworzyć (rejestrować) fundację europejską poza Polską. Nadzór nad tymi fundacjami będzie wykonywany wyłącznie przez organy państwa ich siedziby (art.46 projektu). Natomiast</w:t>
      </w:r>
      <w:r w:rsidRPr="00F34317">
        <w:rPr>
          <w:rFonts w:ascii="Times New Roman" w:hAnsi="Times New Roman"/>
          <w:sz w:val="24"/>
        </w:rPr>
        <w:t xml:space="preserve"> </w:t>
      </w:r>
      <w:r>
        <w:rPr>
          <w:rFonts w:ascii="Times New Roman" w:hAnsi="Times New Roman"/>
          <w:sz w:val="24"/>
        </w:rPr>
        <w:t>uprawnienia organów nadzorczych państw, w których fundacje europejskie będą prowadzić działalność, będą ograniczone wyłącznie do możliwości wnioskowania o kontrolę ich działalności (art. 47 ust. 3 projektu). Należy zatem dążyć do wzmocnienia uprawnień nadzorczych organów państwa prowadzenia działalności przez fundację europejską, tak, aby możliwe było skuteczne eliminowanie wszelkich naruszeń prawa polskiego.</w:t>
      </w:r>
    </w:p>
    <w:p w:rsidR="001E5303" w:rsidRDefault="001E5303" w:rsidP="00C522BC">
      <w:pPr>
        <w:pStyle w:val="BodyText"/>
        <w:spacing w:after="0" w:line="360" w:lineRule="auto"/>
        <w:jc w:val="both"/>
        <w:rPr>
          <w:rFonts w:ascii="Times New Roman" w:hAnsi="Times New Roman"/>
          <w:sz w:val="24"/>
        </w:rPr>
      </w:pPr>
    </w:p>
    <w:p w:rsidR="001E5303" w:rsidRDefault="001E5303" w:rsidP="00C522BC">
      <w:pPr>
        <w:pStyle w:val="BodyText"/>
        <w:spacing w:after="0" w:line="360" w:lineRule="auto"/>
        <w:jc w:val="both"/>
        <w:rPr>
          <w:rFonts w:ascii="Times New Roman" w:hAnsi="Times New Roman"/>
          <w:sz w:val="24"/>
        </w:rPr>
      </w:pPr>
      <w:r>
        <w:rPr>
          <w:rFonts w:ascii="Times New Roman" w:hAnsi="Times New Roman"/>
          <w:sz w:val="24"/>
        </w:rPr>
        <w:t xml:space="preserve">7. Partycypacja pracownicza co do zasady jest trudna do pogodzenia z istotą instytucji fundacji realizującej cele pożytku publicznego. Kierunek rozwiązań dotyczących partycypacji proponowanych w projekcie wydaje się jednak możliwy do zaakceptowania, ponieważ rozwiązania te ograniczają się do wprowadzenia </w:t>
      </w:r>
      <w:r w:rsidRPr="00D37BBA">
        <w:rPr>
          <w:rFonts w:ascii="Times New Roman" w:hAnsi="Times New Roman"/>
          <w:sz w:val="24"/>
          <w:szCs w:val="24"/>
        </w:rPr>
        <w:t xml:space="preserve">procedur informacyjno </w:t>
      </w:r>
      <w:r>
        <w:rPr>
          <w:rFonts w:ascii="Times New Roman" w:hAnsi="Times New Roman"/>
          <w:sz w:val="24"/>
          <w:szCs w:val="24"/>
        </w:rPr>
        <w:t>–</w:t>
      </w:r>
      <w:r w:rsidRPr="00D37BBA">
        <w:rPr>
          <w:rFonts w:ascii="Times New Roman" w:hAnsi="Times New Roman"/>
          <w:sz w:val="24"/>
          <w:szCs w:val="24"/>
        </w:rPr>
        <w:t xml:space="preserve"> konsultacyjnych</w:t>
      </w:r>
      <w:r>
        <w:rPr>
          <w:rFonts w:ascii="Times New Roman" w:hAnsi="Times New Roman"/>
          <w:sz w:val="24"/>
          <w:szCs w:val="24"/>
        </w:rPr>
        <w:t>, uruchamianych tylko na wniosek stosownej liczby pracowników</w:t>
      </w:r>
      <w:r w:rsidRPr="00D37BBA">
        <w:rPr>
          <w:rFonts w:ascii="Times New Roman" w:hAnsi="Times New Roman"/>
          <w:sz w:val="24"/>
          <w:szCs w:val="24"/>
        </w:rPr>
        <w:t>.</w:t>
      </w:r>
      <w:r>
        <w:rPr>
          <w:rFonts w:ascii="Times New Roman" w:hAnsi="Times New Roman"/>
          <w:sz w:val="24"/>
          <w:szCs w:val="24"/>
        </w:rPr>
        <w:t xml:space="preserve"> Tym niemniej w toku prac nad projektem należy dążyć do tego, aby procedury te były jak najmniej skomplikowane, czasochłonne i kosztowne dla fundacji, a progi liczbowe ich uruchamiania zostały określone na właściwym poziomie – nie niższym niż proponowany przez Komisję.</w:t>
      </w:r>
    </w:p>
    <w:p w:rsidR="001E5303" w:rsidRDefault="001E5303" w:rsidP="00065B6F">
      <w:pPr>
        <w:pStyle w:val="BodyText"/>
        <w:spacing w:after="0" w:line="240" w:lineRule="auto"/>
        <w:jc w:val="both"/>
        <w:rPr>
          <w:rFonts w:ascii="Times New Roman" w:hAnsi="Times New Roman"/>
          <w:sz w:val="24"/>
        </w:rPr>
      </w:pPr>
    </w:p>
    <w:p w:rsidR="001E5303" w:rsidRDefault="001E5303" w:rsidP="00C522BC">
      <w:pPr>
        <w:pStyle w:val="BodyText"/>
        <w:spacing w:after="0" w:line="360" w:lineRule="auto"/>
        <w:jc w:val="both"/>
        <w:rPr>
          <w:rFonts w:ascii="Times New Roman" w:hAnsi="Times New Roman"/>
          <w:sz w:val="24"/>
          <w:szCs w:val="24"/>
        </w:rPr>
      </w:pPr>
      <w:r>
        <w:rPr>
          <w:rFonts w:ascii="Times New Roman" w:hAnsi="Times New Roman"/>
          <w:sz w:val="24"/>
          <w:szCs w:val="24"/>
        </w:rPr>
        <w:t>8</w:t>
      </w:r>
      <w:r w:rsidRPr="00CF06BE">
        <w:rPr>
          <w:rFonts w:ascii="Times New Roman" w:hAnsi="Times New Roman"/>
          <w:sz w:val="24"/>
          <w:szCs w:val="24"/>
        </w:rPr>
        <w:t>. W projekcie występują ponadto liczne niejasności i niespójności o charakterze legislacyjnym wymagające usunięcia w toku prac nad projektem. W szczególności należy doprecyzować przepisy odnoszące się do: definicji „podmiotu pożytku publicznego”, trybu</w:t>
      </w:r>
      <w:r w:rsidRPr="00CF06BE">
        <w:rPr>
          <w:rFonts w:ascii="Times New Roman" w:hAnsi="Times New Roman"/>
          <w:i/>
          <w:sz w:val="24"/>
          <w:szCs w:val="24"/>
        </w:rPr>
        <w:t xml:space="preserve"> </w:t>
      </w:r>
      <w:r w:rsidRPr="00CF06BE">
        <w:rPr>
          <w:rFonts w:ascii="Times New Roman" w:hAnsi="Times New Roman"/>
          <w:sz w:val="24"/>
          <w:szCs w:val="24"/>
        </w:rPr>
        <w:t>tworzenia i przekształcania fundacji europejskich, zasad rejestracji fundacji europejskich, odpowiedzialności</w:t>
      </w:r>
      <w:r>
        <w:rPr>
          <w:rFonts w:ascii="Times New Roman" w:hAnsi="Times New Roman"/>
          <w:sz w:val="24"/>
          <w:szCs w:val="24"/>
        </w:rPr>
        <w:t xml:space="preserve"> majątkowej</w:t>
      </w:r>
      <w:r w:rsidRPr="00CF06BE">
        <w:rPr>
          <w:rFonts w:ascii="Times New Roman" w:hAnsi="Times New Roman"/>
          <w:sz w:val="24"/>
          <w:szCs w:val="24"/>
        </w:rPr>
        <w:t xml:space="preserve"> fundacji</w:t>
      </w:r>
      <w:r>
        <w:rPr>
          <w:rFonts w:ascii="Times New Roman" w:hAnsi="Times New Roman"/>
          <w:sz w:val="24"/>
          <w:szCs w:val="24"/>
        </w:rPr>
        <w:t xml:space="preserve"> europejskich</w:t>
      </w:r>
      <w:r w:rsidRPr="00CF06BE">
        <w:rPr>
          <w:rFonts w:ascii="Times New Roman" w:hAnsi="Times New Roman"/>
          <w:sz w:val="24"/>
          <w:szCs w:val="24"/>
        </w:rPr>
        <w:t xml:space="preserve"> (kwestia ta </w:t>
      </w:r>
      <w:r>
        <w:rPr>
          <w:rFonts w:ascii="Times New Roman" w:hAnsi="Times New Roman"/>
          <w:sz w:val="24"/>
          <w:szCs w:val="24"/>
        </w:rPr>
        <w:t>powinna</w:t>
      </w:r>
      <w:r w:rsidRPr="00CF06BE">
        <w:rPr>
          <w:rFonts w:ascii="Times New Roman" w:hAnsi="Times New Roman"/>
          <w:sz w:val="24"/>
          <w:szCs w:val="24"/>
        </w:rPr>
        <w:t xml:space="preserve"> zostać pozostawiona do wyłącznej regulacji prawa krajowego państwa jej siedziby), nabywania</w:t>
      </w:r>
      <w:r>
        <w:rPr>
          <w:rFonts w:ascii="Times New Roman" w:hAnsi="Times New Roman"/>
          <w:sz w:val="24"/>
          <w:szCs w:val="24"/>
        </w:rPr>
        <w:t xml:space="preserve"> majątku przez fundacje</w:t>
      </w:r>
      <w:r w:rsidRPr="00CF06BE">
        <w:rPr>
          <w:rFonts w:ascii="Times New Roman" w:hAnsi="Times New Roman"/>
          <w:sz w:val="24"/>
          <w:szCs w:val="24"/>
        </w:rPr>
        <w:t>, prowadzenia przez fundacje działalności gospodarczej (niejasne jest pojęcie „</w:t>
      </w:r>
      <w:r>
        <w:rPr>
          <w:rFonts w:ascii="Times New Roman" w:hAnsi="Times New Roman"/>
          <w:sz w:val="24"/>
          <w:szCs w:val="24"/>
        </w:rPr>
        <w:t>niepowiązanej działalności</w:t>
      </w:r>
      <w:r w:rsidRPr="00CF06BE">
        <w:rPr>
          <w:rFonts w:ascii="Times New Roman" w:hAnsi="Times New Roman"/>
          <w:sz w:val="24"/>
          <w:szCs w:val="24"/>
        </w:rPr>
        <w:t xml:space="preserve"> gospodarczej", trudności praktyczne może sprawiać weryfikacja progu 10% rocznych obrotów netto </w:t>
      </w:r>
      <w:r>
        <w:rPr>
          <w:rFonts w:ascii="Times New Roman" w:hAnsi="Times New Roman"/>
          <w:sz w:val="24"/>
          <w:szCs w:val="24"/>
        </w:rPr>
        <w:t>fundacji)</w:t>
      </w:r>
      <w:r w:rsidRPr="00CF06BE">
        <w:rPr>
          <w:rFonts w:ascii="Times New Roman" w:hAnsi="Times New Roman"/>
          <w:sz w:val="24"/>
          <w:szCs w:val="24"/>
        </w:rPr>
        <w:t xml:space="preserve">, wewnętrznego ustroju fundacji europejskiej </w:t>
      </w:r>
      <w:r>
        <w:rPr>
          <w:rFonts w:ascii="Times New Roman" w:hAnsi="Times New Roman"/>
          <w:sz w:val="24"/>
          <w:szCs w:val="24"/>
        </w:rPr>
        <w:t>i</w:t>
      </w:r>
      <w:r w:rsidRPr="00CF06BE">
        <w:rPr>
          <w:rFonts w:ascii="Times New Roman" w:hAnsi="Times New Roman"/>
          <w:sz w:val="24"/>
          <w:szCs w:val="24"/>
        </w:rPr>
        <w:t xml:space="preserve"> zasad jej reprezentacji</w:t>
      </w:r>
      <w:r>
        <w:rPr>
          <w:rFonts w:ascii="Times New Roman" w:hAnsi="Times New Roman"/>
          <w:sz w:val="24"/>
          <w:szCs w:val="24"/>
        </w:rPr>
        <w:t xml:space="preserve"> oraz</w:t>
      </w:r>
      <w:r w:rsidRPr="00CF06BE">
        <w:rPr>
          <w:rFonts w:ascii="Times New Roman" w:hAnsi="Times New Roman"/>
          <w:sz w:val="24"/>
          <w:szCs w:val="24"/>
        </w:rPr>
        <w:t xml:space="preserve"> przesłanek rozwiązania</w:t>
      </w:r>
      <w:r>
        <w:rPr>
          <w:rFonts w:ascii="Times New Roman" w:hAnsi="Times New Roman"/>
          <w:sz w:val="24"/>
          <w:szCs w:val="24"/>
        </w:rPr>
        <w:t xml:space="preserve"> fundacji.</w:t>
      </w:r>
    </w:p>
    <w:p w:rsidR="001E5303" w:rsidRPr="00D22EF2" w:rsidRDefault="001E5303" w:rsidP="00065B6F">
      <w:pPr>
        <w:pStyle w:val="BodyText"/>
        <w:spacing w:after="0" w:line="240" w:lineRule="auto"/>
        <w:jc w:val="both"/>
        <w:rPr>
          <w:rFonts w:ascii="Times New Roman" w:hAnsi="Times New Roman"/>
          <w:sz w:val="24"/>
          <w:szCs w:val="24"/>
        </w:rPr>
      </w:pPr>
    </w:p>
    <w:p w:rsidR="001E5303" w:rsidRPr="0038553B" w:rsidRDefault="001E5303" w:rsidP="00C522BC">
      <w:pPr>
        <w:pStyle w:val="BodyText"/>
        <w:numPr>
          <w:ilvl w:val="0"/>
          <w:numId w:val="2"/>
        </w:numPr>
        <w:spacing w:after="0" w:line="360" w:lineRule="auto"/>
        <w:jc w:val="both"/>
        <w:rPr>
          <w:rFonts w:ascii="Times New Roman" w:hAnsi="Times New Roman"/>
          <w:b/>
          <w:sz w:val="24"/>
        </w:rPr>
      </w:pPr>
      <w:r w:rsidRPr="0038553B">
        <w:rPr>
          <w:rFonts w:ascii="Times New Roman" w:hAnsi="Times New Roman"/>
          <w:b/>
          <w:sz w:val="24"/>
        </w:rPr>
        <w:t xml:space="preserve">Ocena skutków prawnych </w:t>
      </w:r>
    </w:p>
    <w:p w:rsidR="001E5303" w:rsidRPr="00D22EF2" w:rsidRDefault="001E5303" w:rsidP="00C522BC">
      <w:pPr>
        <w:pStyle w:val="BodyText"/>
        <w:spacing w:after="0" w:line="360" w:lineRule="auto"/>
        <w:jc w:val="both"/>
        <w:rPr>
          <w:rFonts w:ascii="Times New Roman" w:hAnsi="Times New Roman"/>
          <w:i/>
          <w:sz w:val="24"/>
        </w:rPr>
      </w:pPr>
      <w:r>
        <w:rPr>
          <w:rFonts w:ascii="Times New Roman" w:hAnsi="Times New Roman"/>
          <w:sz w:val="24"/>
        </w:rPr>
        <w:t xml:space="preserve">Przyjęcie projektowanego </w:t>
      </w:r>
      <w:r w:rsidRPr="00B42123">
        <w:rPr>
          <w:rFonts w:ascii="Times New Roman" w:hAnsi="Times New Roman"/>
          <w:i/>
          <w:sz w:val="24"/>
        </w:rPr>
        <w:t>rozporządzenia</w:t>
      </w:r>
      <w:r>
        <w:rPr>
          <w:rFonts w:ascii="Times New Roman" w:hAnsi="Times New Roman"/>
          <w:sz w:val="24"/>
        </w:rPr>
        <w:t xml:space="preserve"> będzie wymagało wprowadzenia istotnych zmian w prawie polskim, w szczególności, jak się wydaje, nowelizacji </w:t>
      </w:r>
      <w:r w:rsidRPr="00B42123">
        <w:rPr>
          <w:rFonts w:ascii="Times New Roman" w:hAnsi="Times New Roman"/>
          <w:i/>
          <w:sz w:val="24"/>
        </w:rPr>
        <w:t>ustaw</w:t>
      </w:r>
      <w:r>
        <w:rPr>
          <w:rFonts w:ascii="Times New Roman" w:hAnsi="Times New Roman"/>
          <w:i/>
          <w:sz w:val="24"/>
        </w:rPr>
        <w:t>y</w:t>
      </w:r>
      <w:r w:rsidRPr="00B42123">
        <w:rPr>
          <w:rFonts w:ascii="Times New Roman" w:hAnsi="Times New Roman"/>
          <w:i/>
          <w:sz w:val="24"/>
        </w:rPr>
        <w:t xml:space="preserve"> z dnia 6 kwietnia 1984 r. o</w:t>
      </w:r>
      <w:r>
        <w:rPr>
          <w:rFonts w:ascii="Times New Roman" w:hAnsi="Times New Roman"/>
          <w:i/>
          <w:sz w:val="24"/>
        </w:rPr>
        <w:t> </w:t>
      </w:r>
      <w:r w:rsidRPr="00B42123">
        <w:rPr>
          <w:rFonts w:ascii="Times New Roman" w:hAnsi="Times New Roman"/>
          <w:i/>
          <w:sz w:val="24"/>
        </w:rPr>
        <w:t>fundacjach</w:t>
      </w:r>
      <w:r>
        <w:rPr>
          <w:rFonts w:ascii="Times New Roman" w:hAnsi="Times New Roman"/>
          <w:i/>
          <w:sz w:val="24"/>
        </w:rPr>
        <w:t xml:space="preserve">. </w:t>
      </w:r>
      <w:r>
        <w:rPr>
          <w:rFonts w:ascii="Times New Roman" w:hAnsi="Times New Roman"/>
          <w:sz w:val="24"/>
        </w:rPr>
        <w:t xml:space="preserve">Dotyczyć to będzie określenia w prawie krajowym kwestii </w:t>
      </w:r>
      <w:r w:rsidRPr="002A1B9A">
        <w:rPr>
          <w:rFonts w:ascii="Times New Roman" w:hAnsi="Times New Roman"/>
          <w:sz w:val="24"/>
        </w:rPr>
        <w:t>dopuszczalności, zakresu i trybu łączenia podmiotów pożytku publicznego, procedury i zasad stosowanych przez organ rejestrujący przy połączeniu prowadzącym do powstania krajowego podmiotu pożytku publicznego; określenia kręgu osób prawnych uprawnionych do przekształcenia w fundację europejską i wskazani</w:t>
      </w:r>
      <w:r>
        <w:rPr>
          <w:rFonts w:ascii="Times New Roman" w:hAnsi="Times New Roman"/>
          <w:sz w:val="24"/>
        </w:rPr>
        <w:t>a</w:t>
      </w:r>
      <w:r w:rsidRPr="002A1B9A">
        <w:rPr>
          <w:rFonts w:ascii="Times New Roman" w:hAnsi="Times New Roman"/>
          <w:sz w:val="24"/>
        </w:rPr>
        <w:t xml:space="preserve"> trybu takiego przekształcenia oraz określeni</w:t>
      </w:r>
      <w:r>
        <w:rPr>
          <w:rFonts w:ascii="Times New Roman" w:hAnsi="Times New Roman"/>
          <w:sz w:val="24"/>
        </w:rPr>
        <w:t>a</w:t>
      </w:r>
      <w:r w:rsidRPr="002A1B9A">
        <w:rPr>
          <w:rFonts w:ascii="Times New Roman" w:hAnsi="Times New Roman"/>
          <w:sz w:val="24"/>
        </w:rPr>
        <w:t xml:space="preserve"> trybu i sposobu przekształcenia fundacji europejskiej w podmiot pożytku publicznego</w:t>
      </w:r>
      <w:r>
        <w:rPr>
          <w:rFonts w:ascii="Times New Roman" w:hAnsi="Times New Roman"/>
          <w:sz w:val="24"/>
        </w:rPr>
        <w:t xml:space="preserve"> </w:t>
      </w:r>
      <w:r w:rsidRPr="002A1B9A">
        <w:rPr>
          <w:rFonts w:ascii="Times New Roman" w:hAnsi="Times New Roman"/>
          <w:sz w:val="24"/>
        </w:rPr>
        <w:t>oraz regulacji zasad odpowiedzialności za działania podejmowane przed zarejestrowaniem fundacji europejskiej</w:t>
      </w:r>
      <w:r>
        <w:rPr>
          <w:rFonts w:ascii="Times New Roman" w:hAnsi="Times New Roman"/>
          <w:sz w:val="24"/>
        </w:rPr>
        <w:t xml:space="preserve">. W przypadku przyjęcia projektu konieczne będzie zapewne wprowadzenie również zmian do </w:t>
      </w:r>
      <w:r w:rsidRPr="002A1B9A">
        <w:rPr>
          <w:rFonts w:ascii="Times New Roman" w:hAnsi="Times New Roman"/>
          <w:i/>
          <w:sz w:val="24"/>
        </w:rPr>
        <w:t>ustaw</w:t>
      </w:r>
      <w:r>
        <w:rPr>
          <w:rFonts w:ascii="Times New Roman" w:hAnsi="Times New Roman"/>
          <w:i/>
          <w:sz w:val="24"/>
        </w:rPr>
        <w:t>y</w:t>
      </w:r>
      <w:r w:rsidRPr="002A1B9A">
        <w:rPr>
          <w:rFonts w:ascii="Times New Roman" w:hAnsi="Times New Roman"/>
          <w:i/>
          <w:sz w:val="24"/>
        </w:rPr>
        <w:t xml:space="preserve"> z dnia 24 kwietnia 2003 r. o działalności pożytku publicznego i o wolontariacie</w:t>
      </w:r>
      <w:r>
        <w:rPr>
          <w:rFonts w:ascii="Times New Roman" w:hAnsi="Times New Roman"/>
          <w:i/>
          <w:sz w:val="24"/>
        </w:rPr>
        <w:t xml:space="preserve"> </w:t>
      </w:r>
      <w:r w:rsidRPr="006B3386">
        <w:rPr>
          <w:rFonts w:ascii="Times New Roman" w:hAnsi="Times New Roman"/>
          <w:sz w:val="24"/>
        </w:rPr>
        <w:t>oraz</w:t>
      </w:r>
      <w:r>
        <w:rPr>
          <w:rFonts w:ascii="Times New Roman" w:hAnsi="Times New Roman"/>
          <w:i/>
          <w:sz w:val="24"/>
        </w:rPr>
        <w:t xml:space="preserve"> ustawy </w:t>
      </w:r>
      <w:r w:rsidRPr="0013129D">
        <w:rPr>
          <w:rFonts w:ascii="Times New Roman" w:hAnsi="Times New Roman"/>
          <w:i/>
          <w:sz w:val="24"/>
        </w:rPr>
        <w:t>z dnia 20 sierpnia 1997 r.</w:t>
      </w:r>
      <w:r>
        <w:rPr>
          <w:rFonts w:ascii="Times New Roman" w:hAnsi="Times New Roman"/>
          <w:i/>
          <w:sz w:val="24"/>
        </w:rPr>
        <w:t xml:space="preserve"> </w:t>
      </w:r>
      <w:r w:rsidRPr="0013129D">
        <w:rPr>
          <w:rFonts w:ascii="Times New Roman" w:hAnsi="Times New Roman"/>
          <w:i/>
          <w:sz w:val="24"/>
        </w:rPr>
        <w:t>o Krajowym Rejestrze Sądowym</w:t>
      </w:r>
      <w:r>
        <w:rPr>
          <w:rFonts w:ascii="Times New Roman" w:hAnsi="Times New Roman"/>
          <w:i/>
          <w:sz w:val="24"/>
        </w:rPr>
        <w:t xml:space="preserve"> </w:t>
      </w:r>
      <w:r w:rsidRPr="0013129D">
        <w:rPr>
          <w:rFonts w:ascii="Times New Roman" w:hAnsi="Times New Roman"/>
          <w:sz w:val="24"/>
        </w:rPr>
        <w:t>(t.j. Dz.U. z 2007 r. Nr 168, poz. 1186</w:t>
      </w:r>
      <w:r>
        <w:rPr>
          <w:rFonts w:ascii="Times New Roman" w:hAnsi="Times New Roman"/>
          <w:sz w:val="24"/>
        </w:rPr>
        <w:t xml:space="preserve">) - </w:t>
      </w:r>
      <w:r w:rsidRPr="0013129D">
        <w:rPr>
          <w:rFonts w:ascii="Times New Roman" w:hAnsi="Times New Roman"/>
          <w:sz w:val="24"/>
        </w:rPr>
        <w:t xml:space="preserve">w zakresie </w:t>
      </w:r>
      <w:r>
        <w:rPr>
          <w:rFonts w:ascii="Times New Roman" w:hAnsi="Times New Roman"/>
          <w:sz w:val="24"/>
        </w:rPr>
        <w:t>zasad wpisu</w:t>
      </w:r>
      <w:r w:rsidRPr="0013129D">
        <w:rPr>
          <w:rFonts w:ascii="Times New Roman" w:hAnsi="Times New Roman"/>
          <w:sz w:val="24"/>
        </w:rPr>
        <w:t xml:space="preserve"> fundacji europejskich</w:t>
      </w:r>
      <w:r>
        <w:rPr>
          <w:rFonts w:ascii="Times New Roman" w:hAnsi="Times New Roman"/>
          <w:i/>
          <w:sz w:val="24"/>
        </w:rPr>
        <w:t xml:space="preserve"> </w:t>
      </w:r>
      <w:r w:rsidRPr="006B3386">
        <w:rPr>
          <w:rFonts w:ascii="Times New Roman" w:hAnsi="Times New Roman"/>
          <w:sz w:val="24"/>
        </w:rPr>
        <w:t>do Krajowego Rejestru Sądowego.</w:t>
      </w:r>
      <w:r>
        <w:rPr>
          <w:rFonts w:ascii="Times New Roman" w:hAnsi="Times New Roman"/>
          <w:i/>
          <w:sz w:val="24"/>
        </w:rPr>
        <w:t xml:space="preserve"> </w:t>
      </w:r>
    </w:p>
    <w:p w:rsidR="001E5303" w:rsidRDefault="001E5303" w:rsidP="00C522BC">
      <w:pPr>
        <w:pStyle w:val="BodyText"/>
        <w:spacing w:after="0" w:line="360" w:lineRule="auto"/>
        <w:jc w:val="both"/>
        <w:rPr>
          <w:rFonts w:ascii="Times New Roman" w:hAnsi="Times New Roman"/>
          <w:b/>
          <w:sz w:val="24"/>
        </w:rPr>
      </w:pPr>
      <w:r>
        <w:rPr>
          <w:rFonts w:ascii="Times New Roman" w:hAnsi="Times New Roman"/>
          <w:b/>
          <w:sz w:val="24"/>
        </w:rPr>
        <w:t xml:space="preserve">2. </w:t>
      </w:r>
      <w:r w:rsidRPr="0038553B">
        <w:rPr>
          <w:rFonts w:ascii="Times New Roman" w:hAnsi="Times New Roman"/>
          <w:b/>
          <w:sz w:val="24"/>
        </w:rPr>
        <w:t xml:space="preserve">Ocena skutków społecznych </w:t>
      </w:r>
    </w:p>
    <w:p w:rsidR="001E5303" w:rsidRDefault="001E5303" w:rsidP="00C522BC">
      <w:pPr>
        <w:pStyle w:val="BodyText"/>
        <w:spacing w:after="0" w:line="360" w:lineRule="auto"/>
        <w:jc w:val="both"/>
        <w:rPr>
          <w:rFonts w:ascii="Times New Roman" w:hAnsi="Times New Roman"/>
          <w:sz w:val="24"/>
        </w:rPr>
      </w:pPr>
      <w:r w:rsidRPr="007F5CDD">
        <w:rPr>
          <w:rFonts w:ascii="Times New Roman" w:hAnsi="Times New Roman"/>
          <w:sz w:val="24"/>
        </w:rPr>
        <w:t xml:space="preserve">Powołanie nowej formy prawnej w postaci fundacji europejskiej </w:t>
      </w:r>
      <w:r>
        <w:rPr>
          <w:rFonts w:ascii="Times New Roman" w:hAnsi="Times New Roman"/>
          <w:sz w:val="24"/>
        </w:rPr>
        <w:t xml:space="preserve">może potencjalnie ułatwić transgraniczną działalność polskich podmiotów pożytku publicznego (pod warunkiem w szczególności obniżenia proponowanej wysokości kapitału założycielskiego fundacji), a także ułatwić działalność podmiotów pożytku publicznego z innych państw członkowskich, chcących prowadzić działalność na terytorium Polski. Mogłoby to zwiększyć skalę środków finansowych dostępnych na cele pożytku publicznego w Polsce. </w:t>
      </w:r>
    </w:p>
    <w:p w:rsidR="001E5303" w:rsidRPr="00D22EF2" w:rsidRDefault="001E5303" w:rsidP="00D22EF2">
      <w:pPr>
        <w:pStyle w:val="BodyText"/>
        <w:spacing w:after="0" w:line="360" w:lineRule="auto"/>
        <w:jc w:val="both"/>
        <w:rPr>
          <w:rFonts w:ascii="Times New Roman" w:hAnsi="Times New Roman"/>
          <w:sz w:val="24"/>
        </w:rPr>
      </w:pPr>
      <w:r>
        <w:rPr>
          <w:rFonts w:ascii="Times New Roman" w:hAnsi="Times New Roman"/>
          <w:sz w:val="24"/>
        </w:rPr>
        <w:t xml:space="preserve">Jednakże negatywne doświadczenia z innymi europejskimi osobami prawa prywatnego (takimi jak spółka europejska i spółdzielnia europejska) nakazują przypuszczać, że ewentualne pozytywne skutki społeczne będą raczej ograniczone. </w:t>
      </w:r>
    </w:p>
    <w:p w:rsidR="001E5303" w:rsidRDefault="001E5303" w:rsidP="00C522BC">
      <w:pPr>
        <w:pStyle w:val="BodyText"/>
        <w:spacing w:after="0" w:line="360" w:lineRule="auto"/>
        <w:jc w:val="both"/>
        <w:rPr>
          <w:rFonts w:ascii="Times New Roman" w:hAnsi="Times New Roman"/>
          <w:b/>
          <w:sz w:val="24"/>
        </w:rPr>
      </w:pPr>
      <w:r>
        <w:rPr>
          <w:rFonts w:ascii="Times New Roman" w:hAnsi="Times New Roman"/>
          <w:b/>
          <w:sz w:val="24"/>
        </w:rPr>
        <w:t xml:space="preserve">3. </w:t>
      </w:r>
      <w:r w:rsidRPr="0038553B">
        <w:rPr>
          <w:rFonts w:ascii="Times New Roman" w:hAnsi="Times New Roman"/>
          <w:b/>
          <w:sz w:val="24"/>
        </w:rPr>
        <w:t xml:space="preserve">Ocena skutków gospodarczych </w:t>
      </w:r>
    </w:p>
    <w:p w:rsidR="001E5303" w:rsidRDefault="001E5303" w:rsidP="00C522BC">
      <w:pPr>
        <w:pStyle w:val="BodyText"/>
        <w:spacing w:after="0" w:line="360" w:lineRule="auto"/>
        <w:jc w:val="both"/>
        <w:rPr>
          <w:rFonts w:ascii="Times New Roman" w:hAnsi="Times New Roman"/>
          <w:sz w:val="24"/>
        </w:rPr>
      </w:pPr>
      <w:r>
        <w:rPr>
          <w:rFonts w:ascii="Times New Roman" w:hAnsi="Times New Roman"/>
          <w:sz w:val="24"/>
        </w:rPr>
        <w:t xml:space="preserve">Projekt zapewnia fundacjom europejskim możliwość prowadzenia działalności gospodarczej. W konsekwencji, jeżeli zwiększy się liczba podmiotów pożytku publicznego prowadzących działalność w Polsce, to potencjalnie może to przynieść pozytywne skutki gospodarcze. </w:t>
      </w:r>
    </w:p>
    <w:p w:rsidR="001E5303" w:rsidRPr="00D22EF2" w:rsidRDefault="001E5303" w:rsidP="00D22EF2">
      <w:pPr>
        <w:pStyle w:val="BodyText"/>
        <w:spacing w:after="0" w:line="360" w:lineRule="auto"/>
        <w:jc w:val="both"/>
        <w:rPr>
          <w:rFonts w:ascii="Times New Roman" w:hAnsi="Times New Roman"/>
          <w:sz w:val="24"/>
        </w:rPr>
      </w:pPr>
      <w:r>
        <w:rPr>
          <w:rFonts w:ascii="Times New Roman" w:hAnsi="Times New Roman"/>
          <w:sz w:val="24"/>
        </w:rPr>
        <w:t>N</w:t>
      </w:r>
      <w:r w:rsidRPr="007F5CDD">
        <w:rPr>
          <w:rFonts w:ascii="Times New Roman" w:hAnsi="Times New Roman"/>
          <w:sz w:val="24"/>
        </w:rPr>
        <w:t xml:space="preserve">a obecnym etapie </w:t>
      </w:r>
      <w:r>
        <w:rPr>
          <w:rFonts w:ascii="Times New Roman" w:hAnsi="Times New Roman"/>
          <w:sz w:val="24"/>
        </w:rPr>
        <w:t>b</w:t>
      </w:r>
      <w:r w:rsidRPr="007F5CDD">
        <w:rPr>
          <w:rFonts w:ascii="Times New Roman" w:hAnsi="Times New Roman"/>
          <w:sz w:val="24"/>
        </w:rPr>
        <w:t xml:space="preserve">rak </w:t>
      </w:r>
      <w:r>
        <w:rPr>
          <w:rFonts w:ascii="Times New Roman" w:hAnsi="Times New Roman"/>
          <w:sz w:val="24"/>
        </w:rPr>
        <w:t xml:space="preserve">jest jednak </w:t>
      </w:r>
      <w:r w:rsidRPr="007F5CDD">
        <w:rPr>
          <w:rFonts w:ascii="Times New Roman" w:hAnsi="Times New Roman"/>
          <w:sz w:val="24"/>
        </w:rPr>
        <w:t xml:space="preserve">możliwości określenia skali </w:t>
      </w:r>
      <w:r>
        <w:rPr>
          <w:rFonts w:ascii="Times New Roman" w:hAnsi="Times New Roman"/>
          <w:sz w:val="24"/>
        </w:rPr>
        <w:t xml:space="preserve">prowadzenia działalności gospodarczej przez fundacje europejskie na terytorium RP. </w:t>
      </w:r>
    </w:p>
    <w:p w:rsidR="001E5303" w:rsidRPr="0038553B" w:rsidRDefault="001E5303" w:rsidP="00C522BC">
      <w:pPr>
        <w:pStyle w:val="BodyText"/>
        <w:spacing w:after="0" w:line="360" w:lineRule="auto"/>
        <w:jc w:val="both"/>
        <w:rPr>
          <w:rFonts w:ascii="Times New Roman" w:hAnsi="Times New Roman"/>
          <w:b/>
          <w:sz w:val="24"/>
        </w:rPr>
      </w:pPr>
      <w:r>
        <w:rPr>
          <w:rFonts w:ascii="Times New Roman" w:hAnsi="Times New Roman"/>
          <w:b/>
          <w:sz w:val="24"/>
        </w:rPr>
        <w:t xml:space="preserve">4. </w:t>
      </w:r>
      <w:r w:rsidRPr="0038553B">
        <w:rPr>
          <w:rFonts w:ascii="Times New Roman" w:hAnsi="Times New Roman"/>
          <w:b/>
          <w:sz w:val="24"/>
        </w:rPr>
        <w:t xml:space="preserve">Ocena skutków finansowych </w:t>
      </w:r>
    </w:p>
    <w:p w:rsidR="001E5303" w:rsidRDefault="001E5303" w:rsidP="00C522BC">
      <w:pPr>
        <w:pStyle w:val="BodyText3"/>
        <w:spacing w:after="0" w:line="360" w:lineRule="auto"/>
        <w:jc w:val="both"/>
        <w:rPr>
          <w:rFonts w:ascii="Times New Roman" w:hAnsi="Times New Roman"/>
          <w:sz w:val="24"/>
          <w:szCs w:val="24"/>
        </w:rPr>
      </w:pPr>
      <w:r>
        <w:rPr>
          <w:rFonts w:ascii="Times New Roman" w:hAnsi="Times New Roman"/>
          <w:sz w:val="24"/>
          <w:szCs w:val="24"/>
        </w:rPr>
        <w:t>K</w:t>
      </w:r>
      <w:r w:rsidRPr="00B42123">
        <w:rPr>
          <w:rFonts w:ascii="Times New Roman" w:hAnsi="Times New Roman"/>
          <w:sz w:val="24"/>
          <w:szCs w:val="24"/>
        </w:rPr>
        <w:t xml:space="preserve">oszty </w:t>
      </w:r>
      <w:r>
        <w:rPr>
          <w:rFonts w:ascii="Times New Roman" w:hAnsi="Times New Roman"/>
          <w:sz w:val="24"/>
          <w:szCs w:val="24"/>
        </w:rPr>
        <w:t>wprowadzenia instytucji</w:t>
      </w:r>
      <w:r w:rsidRPr="00B42123">
        <w:rPr>
          <w:rFonts w:ascii="Times New Roman" w:hAnsi="Times New Roman"/>
          <w:sz w:val="24"/>
          <w:szCs w:val="24"/>
        </w:rPr>
        <w:t xml:space="preserve"> fundacji europejskiej </w:t>
      </w:r>
      <w:r>
        <w:rPr>
          <w:rFonts w:ascii="Times New Roman" w:hAnsi="Times New Roman"/>
          <w:sz w:val="24"/>
          <w:szCs w:val="24"/>
        </w:rPr>
        <w:t xml:space="preserve">dla budżetu państwa </w:t>
      </w:r>
      <w:r w:rsidRPr="00B42123">
        <w:rPr>
          <w:rFonts w:ascii="Times New Roman" w:hAnsi="Times New Roman"/>
          <w:sz w:val="24"/>
          <w:szCs w:val="24"/>
        </w:rPr>
        <w:t xml:space="preserve">wynikać </w:t>
      </w:r>
      <w:r>
        <w:rPr>
          <w:rFonts w:ascii="Times New Roman" w:hAnsi="Times New Roman"/>
          <w:sz w:val="24"/>
          <w:szCs w:val="24"/>
        </w:rPr>
        <w:t>będą w szczególności</w:t>
      </w:r>
      <w:r w:rsidRPr="00B42123">
        <w:rPr>
          <w:rFonts w:ascii="Times New Roman" w:hAnsi="Times New Roman"/>
          <w:sz w:val="24"/>
          <w:szCs w:val="24"/>
        </w:rPr>
        <w:t xml:space="preserve"> z</w:t>
      </w:r>
      <w:r>
        <w:rPr>
          <w:rFonts w:ascii="Times New Roman" w:hAnsi="Times New Roman"/>
          <w:sz w:val="24"/>
          <w:szCs w:val="24"/>
        </w:rPr>
        <w:t> </w:t>
      </w:r>
      <w:r w:rsidRPr="00B42123">
        <w:rPr>
          <w:rFonts w:ascii="Times New Roman" w:hAnsi="Times New Roman"/>
          <w:sz w:val="24"/>
          <w:szCs w:val="24"/>
        </w:rPr>
        <w:t xml:space="preserve">automatycznego </w:t>
      </w:r>
      <w:r>
        <w:rPr>
          <w:rFonts w:ascii="Times New Roman" w:hAnsi="Times New Roman"/>
          <w:sz w:val="24"/>
          <w:szCs w:val="24"/>
        </w:rPr>
        <w:t>przyznania</w:t>
      </w:r>
      <w:r w:rsidRPr="00B42123">
        <w:rPr>
          <w:rFonts w:ascii="Times New Roman" w:hAnsi="Times New Roman"/>
          <w:sz w:val="24"/>
          <w:szCs w:val="24"/>
        </w:rPr>
        <w:t xml:space="preserve"> fundacjom europejskim statusu organizacji pożytku publicznego na podstawie </w:t>
      </w:r>
      <w:r w:rsidRPr="00B42123">
        <w:rPr>
          <w:rFonts w:ascii="Times New Roman" w:hAnsi="Times New Roman"/>
          <w:i/>
          <w:sz w:val="24"/>
          <w:szCs w:val="24"/>
        </w:rPr>
        <w:t>ustawy dnia 24 kwietnia 2003 r. o działalności pożytku publicznego i o</w:t>
      </w:r>
      <w:r>
        <w:rPr>
          <w:rFonts w:ascii="Times New Roman" w:hAnsi="Times New Roman"/>
          <w:i/>
          <w:sz w:val="24"/>
          <w:szCs w:val="24"/>
        </w:rPr>
        <w:t> </w:t>
      </w:r>
      <w:r w:rsidRPr="00B42123">
        <w:rPr>
          <w:rFonts w:ascii="Times New Roman" w:hAnsi="Times New Roman"/>
          <w:i/>
          <w:sz w:val="24"/>
          <w:szCs w:val="24"/>
        </w:rPr>
        <w:t>wolontariacie</w:t>
      </w:r>
      <w:r>
        <w:rPr>
          <w:rFonts w:ascii="Times New Roman" w:hAnsi="Times New Roman"/>
          <w:sz w:val="24"/>
          <w:szCs w:val="24"/>
        </w:rPr>
        <w:t xml:space="preserve"> i przyznania fundacjom europejskim wynikających z tego statusu ulg i przywilejów podatkowych. Może to skutkować uszczupleniem dochodów budżetu państwa. </w:t>
      </w:r>
    </w:p>
    <w:p w:rsidR="001E5303" w:rsidRPr="00B42123" w:rsidRDefault="001E5303" w:rsidP="00C522BC">
      <w:pPr>
        <w:pStyle w:val="BodyText3"/>
        <w:spacing w:after="0" w:line="360" w:lineRule="auto"/>
        <w:jc w:val="both"/>
        <w:rPr>
          <w:rFonts w:ascii="Times New Roman" w:hAnsi="Times New Roman"/>
          <w:sz w:val="24"/>
          <w:szCs w:val="24"/>
        </w:rPr>
      </w:pPr>
      <w:r w:rsidRPr="00B42123">
        <w:rPr>
          <w:rFonts w:ascii="Times New Roman" w:hAnsi="Times New Roman"/>
          <w:sz w:val="24"/>
          <w:szCs w:val="24"/>
        </w:rPr>
        <w:t xml:space="preserve">Przyjęcie projektowanego </w:t>
      </w:r>
      <w:r w:rsidRPr="00F80A04">
        <w:rPr>
          <w:rFonts w:ascii="Times New Roman" w:hAnsi="Times New Roman"/>
          <w:i/>
          <w:sz w:val="24"/>
          <w:szCs w:val="24"/>
        </w:rPr>
        <w:t>rozporządzenia</w:t>
      </w:r>
      <w:r w:rsidRPr="00B42123">
        <w:rPr>
          <w:rFonts w:ascii="Times New Roman" w:hAnsi="Times New Roman"/>
          <w:sz w:val="24"/>
          <w:szCs w:val="24"/>
        </w:rPr>
        <w:t xml:space="preserve"> może powodować </w:t>
      </w:r>
      <w:r>
        <w:rPr>
          <w:rFonts w:ascii="Times New Roman" w:hAnsi="Times New Roman"/>
          <w:sz w:val="24"/>
          <w:szCs w:val="24"/>
        </w:rPr>
        <w:t>konieczność ponoszenia przez państwa członkowskie wydatków administracyjnych</w:t>
      </w:r>
      <w:r w:rsidRPr="00B42123">
        <w:rPr>
          <w:rFonts w:ascii="Times New Roman" w:hAnsi="Times New Roman"/>
          <w:sz w:val="24"/>
          <w:szCs w:val="24"/>
        </w:rPr>
        <w:t xml:space="preserve"> </w:t>
      </w:r>
      <w:r>
        <w:rPr>
          <w:rFonts w:ascii="Times New Roman" w:hAnsi="Times New Roman"/>
          <w:sz w:val="24"/>
          <w:szCs w:val="24"/>
        </w:rPr>
        <w:t xml:space="preserve">na zwiększone zadania organów nadzorczych fundacji europejskich (art. 45-48 projektu) oraz sądów rejestrowych (art. 21 – 24 projektu). </w:t>
      </w:r>
    </w:p>
    <w:p w:rsidR="001E5303" w:rsidRDefault="001E5303" w:rsidP="00065B6F">
      <w:pPr>
        <w:spacing w:after="0" w:line="240" w:lineRule="auto"/>
        <w:jc w:val="both"/>
        <w:rPr>
          <w:rFonts w:ascii="Times New Roman" w:hAnsi="Times New Roman"/>
        </w:rPr>
      </w:pPr>
    </w:p>
    <w:p w:rsidR="001E5303" w:rsidRDefault="001E5303" w:rsidP="00C522BC">
      <w:pPr>
        <w:spacing w:after="0" w:line="360" w:lineRule="auto"/>
        <w:jc w:val="both"/>
        <w:rPr>
          <w:rFonts w:ascii="Times New Roman" w:hAnsi="Times New Roman"/>
        </w:rPr>
      </w:pPr>
      <w:r w:rsidRPr="006B3386">
        <w:rPr>
          <w:rFonts w:ascii="Times New Roman" w:hAnsi="Times New Roman"/>
          <w:sz w:val="24"/>
          <w:szCs w:val="24"/>
        </w:rPr>
        <w:t>Z uwagi na brak możliwości określenia na obecnym etapie skali zainteresowania instytucją fundacji europejskiej, zakres ograniczenia dochodów i zwiększenia wydatków z budżetu państwa</w:t>
      </w:r>
      <w:r>
        <w:rPr>
          <w:rFonts w:ascii="Times New Roman" w:hAnsi="Times New Roman"/>
          <w:sz w:val="24"/>
          <w:szCs w:val="24"/>
        </w:rPr>
        <w:t xml:space="preserve"> wynikających z projektowanej regulacji </w:t>
      </w:r>
      <w:r w:rsidRPr="006B3386">
        <w:rPr>
          <w:rFonts w:ascii="Times New Roman" w:hAnsi="Times New Roman"/>
          <w:sz w:val="24"/>
          <w:szCs w:val="24"/>
        </w:rPr>
        <w:t>nie jest na obecnym etapie możliwy do oszacowania.</w:t>
      </w:r>
      <w:r>
        <w:rPr>
          <w:rFonts w:ascii="Times New Roman" w:hAnsi="Times New Roman"/>
        </w:rPr>
        <w:t xml:space="preserve"> </w:t>
      </w:r>
    </w:p>
    <w:p w:rsidR="001E5303" w:rsidRDefault="001E5303" w:rsidP="00C522BC">
      <w:pPr>
        <w:spacing w:after="0" w:line="360" w:lineRule="auto"/>
        <w:jc w:val="both"/>
        <w:rPr>
          <w:rFonts w:ascii="Times New Roman" w:hAnsi="Times New Roman"/>
        </w:rPr>
      </w:pPr>
    </w:p>
    <w:p w:rsidR="001E5303" w:rsidRPr="0038553B" w:rsidRDefault="001E5303" w:rsidP="00C522BC">
      <w:pPr>
        <w:pStyle w:val="Heading5"/>
        <w:spacing w:line="360" w:lineRule="auto"/>
      </w:pPr>
      <w:r>
        <w:t>Stanowisko partnerów społecznych</w:t>
      </w:r>
    </w:p>
    <w:p w:rsidR="001E5303" w:rsidRDefault="001E5303" w:rsidP="00C522BC">
      <w:pPr>
        <w:spacing w:after="0" w:line="360" w:lineRule="auto"/>
        <w:jc w:val="both"/>
        <w:rPr>
          <w:rFonts w:ascii="Times New Roman" w:hAnsi="Times New Roman"/>
        </w:rPr>
      </w:pPr>
    </w:p>
    <w:p w:rsidR="001E5303" w:rsidRDefault="001E5303" w:rsidP="00C522BC">
      <w:pPr>
        <w:spacing w:after="0" w:line="360" w:lineRule="auto"/>
        <w:jc w:val="both"/>
        <w:rPr>
          <w:rFonts w:ascii="Times New Roman" w:hAnsi="Times New Roman"/>
          <w:sz w:val="24"/>
          <w:szCs w:val="24"/>
        </w:rPr>
      </w:pPr>
      <w:r w:rsidRPr="000D3D3E">
        <w:rPr>
          <w:rFonts w:ascii="Times New Roman" w:hAnsi="Times New Roman"/>
          <w:sz w:val="24"/>
          <w:szCs w:val="24"/>
        </w:rPr>
        <w:t xml:space="preserve">Projekt rozporządzenia został przekazany do konsultacji polskim organizacjom pożytku publicznego. </w:t>
      </w:r>
      <w:r>
        <w:rPr>
          <w:rFonts w:ascii="Times New Roman" w:hAnsi="Times New Roman"/>
          <w:sz w:val="24"/>
          <w:szCs w:val="24"/>
        </w:rPr>
        <w:t>Wypowiedziało</w:t>
      </w:r>
      <w:r w:rsidRPr="000D3D3E">
        <w:rPr>
          <w:rFonts w:ascii="Times New Roman" w:hAnsi="Times New Roman"/>
          <w:sz w:val="24"/>
          <w:szCs w:val="24"/>
        </w:rPr>
        <w:t xml:space="preserve"> się </w:t>
      </w:r>
      <w:r>
        <w:rPr>
          <w:rFonts w:ascii="Times New Roman" w:hAnsi="Times New Roman"/>
          <w:sz w:val="24"/>
          <w:szCs w:val="24"/>
        </w:rPr>
        <w:t>ponad 30 organizacji.</w:t>
      </w:r>
    </w:p>
    <w:p w:rsidR="001E5303" w:rsidRDefault="001E5303" w:rsidP="00C522BC">
      <w:pPr>
        <w:spacing w:after="0" w:line="360" w:lineRule="auto"/>
        <w:jc w:val="both"/>
        <w:rPr>
          <w:rFonts w:ascii="Times New Roman" w:hAnsi="Times New Roman"/>
          <w:sz w:val="24"/>
          <w:szCs w:val="24"/>
        </w:rPr>
      </w:pPr>
      <w:r>
        <w:rPr>
          <w:rFonts w:ascii="Times New Roman" w:hAnsi="Times New Roman"/>
          <w:sz w:val="24"/>
          <w:szCs w:val="24"/>
        </w:rPr>
        <w:t>Zasadniczo w/w podmioty oceniły projekt pozytywnie, podkreślając, że nowa forma prawna będzie zachęcać fundacje do podejmowania działalności transgarnicznej oraz zmniejszy koszty obsługi prawnej, przez co nastąpi zwiększenie puli środków prywatnych przekazywanych na cele pożytku publicznego.</w:t>
      </w:r>
    </w:p>
    <w:p w:rsidR="001E5303" w:rsidRPr="000D3D3E" w:rsidRDefault="001E5303" w:rsidP="00C522BC">
      <w:pPr>
        <w:spacing w:after="0" w:line="360" w:lineRule="auto"/>
        <w:jc w:val="both"/>
        <w:rPr>
          <w:rFonts w:ascii="Times New Roman" w:hAnsi="Times New Roman"/>
          <w:sz w:val="24"/>
          <w:szCs w:val="24"/>
        </w:rPr>
      </w:pPr>
      <w:r>
        <w:rPr>
          <w:rFonts w:ascii="Times New Roman" w:hAnsi="Times New Roman"/>
          <w:sz w:val="24"/>
          <w:szCs w:val="24"/>
        </w:rPr>
        <w:t>Jedna z organizacji zwróciła uwagę na zbyt wysoki poziom wymaganego kapitału założycielskiego dla fundacji europejskiej, nieuwzględniający specyfiki polskiego sektora fundacji.</w:t>
      </w:r>
    </w:p>
    <w:p w:rsidR="001E5303" w:rsidRPr="0038553B" w:rsidRDefault="001E5303" w:rsidP="00C522BC">
      <w:pPr>
        <w:spacing w:after="0" w:line="360" w:lineRule="auto"/>
        <w:rPr>
          <w:rFonts w:ascii="Times New Roman" w:hAnsi="Times New Roman"/>
        </w:rPr>
      </w:pPr>
    </w:p>
    <w:p w:rsidR="001E5303" w:rsidRPr="0038553B" w:rsidRDefault="001E5303" w:rsidP="00C522BC">
      <w:pPr>
        <w:pStyle w:val="Heading5"/>
        <w:spacing w:line="360" w:lineRule="auto"/>
      </w:pPr>
      <w:r w:rsidRPr="0038553B">
        <w:t>Informacja w sprawie zgodności projektu aktu z zasadą pomocniczości</w:t>
      </w:r>
    </w:p>
    <w:p w:rsidR="001E5303" w:rsidRPr="0038553B" w:rsidRDefault="001E5303" w:rsidP="00C522BC">
      <w:pPr>
        <w:spacing w:after="0" w:line="360" w:lineRule="auto"/>
        <w:rPr>
          <w:rFonts w:ascii="Times New Roman" w:hAnsi="Times New Roman"/>
          <w:i/>
        </w:rPr>
      </w:pPr>
    </w:p>
    <w:p w:rsidR="001E5303" w:rsidRDefault="001E5303" w:rsidP="00C522BC">
      <w:pPr>
        <w:pStyle w:val="BodyText3"/>
        <w:spacing w:after="0" w:line="360" w:lineRule="auto"/>
        <w:jc w:val="both"/>
        <w:rPr>
          <w:rFonts w:ascii="Times New Roman" w:hAnsi="Times New Roman"/>
          <w:sz w:val="24"/>
          <w:szCs w:val="24"/>
        </w:rPr>
      </w:pPr>
      <w:r>
        <w:rPr>
          <w:rFonts w:ascii="Times New Roman" w:hAnsi="Times New Roman"/>
          <w:sz w:val="24"/>
          <w:szCs w:val="24"/>
        </w:rPr>
        <w:t xml:space="preserve">Projektowane </w:t>
      </w:r>
      <w:r w:rsidRPr="00883F7D">
        <w:rPr>
          <w:rFonts w:ascii="Times New Roman" w:hAnsi="Times New Roman"/>
          <w:i/>
          <w:sz w:val="24"/>
          <w:szCs w:val="24"/>
        </w:rPr>
        <w:t>rozporządzenie</w:t>
      </w:r>
      <w:r>
        <w:rPr>
          <w:rFonts w:ascii="Times New Roman" w:hAnsi="Times New Roman"/>
          <w:sz w:val="24"/>
          <w:szCs w:val="24"/>
        </w:rPr>
        <w:t xml:space="preserve"> ma na celu ograniczenie barier w zakresie prowadzenia transgranicznej działalności pożytku publicznego, w szczególności przez przyznanie fundacjom europejskim we wszystkich państwach członkowskich korzyści wynikających ze statusu organizacji pożytku publicznego na gruncie krajowego prawa podatkowego. Wydaje się, iż tego rodzaju cel może być najskuteczniej realizowany na poziomie UE, a w związku z tym inicjatywa Komisji nie będzie naruszać zasady pomocniczości określonej w art. 5 ust. 3 </w:t>
      </w:r>
      <w:r w:rsidRPr="00036D67">
        <w:rPr>
          <w:rFonts w:ascii="Times New Roman" w:hAnsi="Times New Roman"/>
          <w:i/>
          <w:sz w:val="24"/>
          <w:szCs w:val="24"/>
        </w:rPr>
        <w:t>Traktatu o Unii Europejskiej</w:t>
      </w:r>
      <w:r>
        <w:rPr>
          <w:rFonts w:ascii="Times New Roman" w:hAnsi="Times New Roman"/>
          <w:sz w:val="24"/>
          <w:szCs w:val="24"/>
        </w:rPr>
        <w:t xml:space="preserve">. </w:t>
      </w:r>
    </w:p>
    <w:p w:rsidR="001E5303" w:rsidRPr="00EC4D79" w:rsidRDefault="001E5303" w:rsidP="00C522BC">
      <w:pPr>
        <w:spacing w:after="0" w:line="360" w:lineRule="auto"/>
        <w:jc w:val="both"/>
        <w:rPr>
          <w:rFonts w:ascii="Times New Roman" w:hAnsi="Times New Roman"/>
          <w:sz w:val="24"/>
          <w:szCs w:val="24"/>
        </w:rPr>
      </w:pPr>
      <w:r>
        <w:rPr>
          <w:rFonts w:ascii="Times New Roman" w:hAnsi="Times New Roman"/>
          <w:sz w:val="24"/>
          <w:szCs w:val="24"/>
        </w:rPr>
        <w:t>Ponadto należy podkreślić, że jako podstawę prawną dla przyjęcia projektu wskazano</w:t>
      </w:r>
      <w:r w:rsidRPr="00EC4D79">
        <w:rPr>
          <w:rFonts w:ascii="Times New Roman" w:hAnsi="Times New Roman"/>
          <w:sz w:val="24"/>
          <w:szCs w:val="24"/>
        </w:rPr>
        <w:t xml:space="preserve"> art. 352 </w:t>
      </w:r>
      <w:r w:rsidRPr="00EC4D79">
        <w:rPr>
          <w:rFonts w:ascii="Times New Roman" w:hAnsi="Times New Roman"/>
          <w:i/>
          <w:sz w:val="24"/>
          <w:szCs w:val="24"/>
        </w:rPr>
        <w:t xml:space="preserve">TFUE </w:t>
      </w:r>
      <w:r w:rsidRPr="00082DE8">
        <w:rPr>
          <w:rFonts w:ascii="Times New Roman" w:hAnsi="Times New Roman"/>
          <w:sz w:val="24"/>
          <w:szCs w:val="24"/>
        </w:rPr>
        <w:t>(</w:t>
      </w:r>
      <w:r w:rsidRPr="00EC4D79">
        <w:rPr>
          <w:rFonts w:ascii="Times New Roman" w:hAnsi="Times New Roman"/>
          <w:sz w:val="24"/>
          <w:szCs w:val="24"/>
        </w:rPr>
        <w:t>tzw. klauzula elastyczności</w:t>
      </w:r>
      <w:r>
        <w:rPr>
          <w:rFonts w:ascii="Times New Roman" w:hAnsi="Times New Roman"/>
          <w:sz w:val="24"/>
          <w:szCs w:val="24"/>
        </w:rPr>
        <w:t>)</w:t>
      </w:r>
      <w:r w:rsidRPr="00EC4D79">
        <w:rPr>
          <w:rFonts w:ascii="Times New Roman" w:hAnsi="Times New Roman"/>
          <w:sz w:val="24"/>
          <w:szCs w:val="24"/>
        </w:rPr>
        <w:t xml:space="preserve">, </w:t>
      </w:r>
      <w:r>
        <w:rPr>
          <w:rFonts w:ascii="Times New Roman" w:hAnsi="Times New Roman"/>
          <w:sz w:val="24"/>
          <w:szCs w:val="24"/>
        </w:rPr>
        <w:t>który</w:t>
      </w:r>
      <w:r w:rsidRPr="00EC4D79">
        <w:rPr>
          <w:rFonts w:ascii="Times New Roman" w:hAnsi="Times New Roman"/>
          <w:sz w:val="24"/>
          <w:szCs w:val="24"/>
        </w:rPr>
        <w:t xml:space="preserve"> </w:t>
      </w:r>
      <w:r>
        <w:rPr>
          <w:rFonts w:ascii="Times New Roman" w:hAnsi="Times New Roman"/>
          <w:sz w:val="24"/>
          <w:szCs w:val="24"/>
        </w:rPr>
        <w:t>zapewnia</w:t>
      </w:r>
      <w:r w:rsidRPr="00EC4D79">
        <w:rPr>
          <w:rFonts w:ascii="Times New Roman" w:hAnsi="Times New Roman"/>
          <w:sz w:val="24"/>
          <w:szCs w:val="24"/>
        </w:rPr>
        <w:t xml:space="preserve"> zachowanie zasady jednomyślności przy głosowaniu w Radzie UE</w:t>
      </w:r>
      <w:r>
        <w:rPr>
          <w:rFonts w:ascii="Times New Roman" w:hAnsi="Times New Roman"/>
          <w:sz w:val="24"/>
          <w:szCs w:val="24"/>
        </w:rPr>
        <w:t>. Od strony instytucjonalnej gwarantuje to Polsce odpowiedni wpływ na przyjmowane rozwiązania.</w:t>
      </w:r>
    </w:p>
    <w:p w:rsidR="001E5303" w:rsidRPr="0038553B" w:rsidRDefault="001E5303" w:rsidP="00C522BC">
      <w:pPr>
        <w:spacing w:after="0" w:line="360" w:lineRule="auto"/>
        <w:rPr>
          <w:rFonts w:ascii="Times New Roman" w:hAnsi="Times New Roman"/>
        </w:rPr>
      </w:pPr>
    </w:p>
    <w:p w:rsidR="001E5303" w:rsidRPr="0038553B" w:rsidRDefault="001E5303" w:rsidP="00C522BC">
      <w:pPr>
        <w:pStyle w:val="Heading5"/>
        <w:spacing w:line="360" w:lineRule="auto"/>
      </w:pPr>
      <w:r w:rsidRPr="0038553B">
        <w:t xml:space="preserve">Przedstawiciel Rządu upoważniony do prezentowania stanowiska </w:t>
      </w:r>
    </w:p>
    <w:p w:rsidR="001E5303" w:rsidRPr="0038553B" w:rsidRDefault="001E5303" w:rsidP="00C522BC">
      <w:pPr>
        <w:spacing w:after="0" w:line="360" w:lineRule="auto"/>
        <w:rPr>
          <w:rFonts w:ascii="Times New Roman" w:hAnsi="Times New Roman"/>
        </w:rPr>
      </w:pPr>
    </w:p>
    <w:p w:rsidR="001E5303" w:rsidRPr="00090B7D" w:rsidRDefault="001E5303" w:rsidP="00C522BC">
      <w:pPr>
        <w:pStyle w:val="BodyText3"/>
        <w:spacing w:after="0" w:line="360" w:lineRule="auto"/>
        <w:jc w:val="both"/>
        <w:rPr>
          <w:rFonts w:ascii="Times New Roman" w:hAnsi="Times New Roman"/>
          <w:sz w:val="24"/>
          <w:szCs w:val="24"/>
        </w:rPr>
      </w:pPr>
      <w:r>
        <w:rPr>
          <w:rFonts w:ascii="Times New Roman" w:hAnsi="Times New Roman"/>
          <w:sz w:val="24"/>
          <w:szCs w:val="24"/>
        </w:rPr>
        <w:t xml:space="preserve">Pan Minister Grzegorz Wałejko, Podsekretarz Stanu w Ministerstwie Sprawiedliwości. </w:t>
      </w:r>
    </w:p>
    <w:sectPr w:rsidR="001E5303" w:rsidRPr="00090B7D" w:rsidSect="007A4BF3">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303" w:rsidRDefault="001E5303">
      <w:pPr>
        <w:spacing w:after="0" w:line="240" w:lineRule="auto"/>
      </w:pPr>
      <w:r>
        <w:separator/>
      </w:r>
    </w:p>
  </w:endnote>
  <w:endnote w:type="continuationSeparator" w:id="0">
    <w:p w:rsidR="001E5303" w:rsidRDefault="001E5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303" w:rsidRDefault="001E5303">
    <w:pPr>
      <w:pStyle w:val="Footer"/>
      <w:jc w:val="right"/>
    </w:pPr>
    <w:fldSimple w:instr=" PAGE   \* MERGEFORMAT ">
      <w:r>
        <w:rPr>
          <w:noProof/>
        </w:rPr>
        <w:t>1</w:t>
      </w:r>
    </w:fldSimple>
  </w:p>
  <w:p w:rsidR="001E5303" w:rsidRDefault="001E5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303" w:rsidRDefault="001E5303">
      <w:pPr>
        <w:spacing w:after="0" w:line="240" w:lineRule="auto"/>
      </w:pPr>
      <w:r>
        <w:separator/>
      </w:r>
    </w:p>
  </w:footnote>
  <w:footnote w:type="continuationSeparator" w:id="0">
    <w:p w:rsidR="001E5303" w:rsidRDefault="001E5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2241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F702D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98CAA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CD6C2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F80F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5C5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2261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08E2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D04E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0A2686"/>
    <w:lvl w:ilvl="0">
      <w:start w:val="1"/>
      <w:numFmt w:val="bullet"/>
      <w:lvlText w:val=""/>
      <w:lvlJc w:val="left"/>
      <w:pPr>
        <w:tabs>
          <w:tab w:val="num" w:pos="360"/>
        </w:tabs>
        <w:ind w:left="360" w:hanging="360"/>
      </w:pPr>
      <w:rPr>
        <w:rFonts w:ascii="Symbol" w:hAnsi="Symbol" w:hint="default"/>
      </w:rPr>
    </w:lvl>
  </w:abstractNum>
  <w:abstractNum w:abstractNumId="10">
    <w:nsid w:val="006C4B6F"/>
    <w:multiLevelType w:val="hybridMultilevel"/>
    <w:tmpl w:val="4B427542"/>
    <w:lvl w:ilvl="0" w:tplc="43348E3E">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4C15E94"/>
    <w:multiLevelType w:val="hybridMultilevel"/>
    <w:tmpl w:val="8B281A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72B76D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
    <w:nsid w:val="30AE2F24"/>
    <w:multiLevelType w:val="singleLevel"/>
    <w:tmpl w:val="4CFAA634"/>
    <w:lvl w:ilvl="0">
      <w:start w:val="1"/>
      <w:numFmt w:val="upperRoman"/>
      <w:pStyle w:val="Heading5"/>
      <w:lvlText w:val="%1."/>
      <w:lvlJc w:val="left"/>
      <w:pPr>
        <w:tabs>
          <w:tab w:val="num" w:pos="720"/>
        </w:tabs>
        <w:ind w:left="720" w:hanging="720"/>
      </w:pPr>
      <w:rPr>
        <w:rFonts w:cs="Times New Roman" w:hint="default"/>
      </w:rPr>
    </w:lvl>
  </w:abstractNum>
  <w:abstractNum w:abstractNumId="14">
    <w:nsid w:val="3D773545"/>
    <w:multiLevelType w:val="hybridMultilevel"/>
    <w:tmpl w:val="FF445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A2A379C"/>
    <w:multiLevelType w:val="hybridMultilevel"/>
    <w:tmpl w:val="79CC0DD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9716CDC"/>
    <w:multiLevelType w:val="hybridMultilevel"/>
    <w:tmpl w:val="008091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12"/>
  </w:num>
  <w:num w:numId="3">
    <w:abstractNumId w:val="14"/>
  </w:num>
  <w:num w:numId="4">
    <w:abstractNumId w:val="16"/>
  </w:num>
  <w:num w:numId="5">
    <w:abstractNumId w:val="11"/>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CD2"/>
    <w:rsid w:val="00003FD7"/>
    <w:rsid w:val="00036D67"/>
    <w:rsid w:val="000570F0"/>
    <w:rsid w:val="00065B6F"/>
    <w:rsid w:val="00070DDE"/>
    <w:rsid w:val="00074C12"/>
    <w:rsid w:val="00082DE8"/>
    <w:rsid w:val="0008644F"/>
    <w:rsid w:val="000908D2"/>
    <w:rsid w:val="00090B7D"/>
    <w:rsid w:val="000971D8"/>
    <w:rsid w:val="000A1AEF"/>
    <w:rsid w:val="000B01A9"/>
    <w:rsid w:val="000B0565"/>
    <w:rsid w:val="000B4085"/>
    <w:rsid w:val="000B6DB2"/>
    <w:rsid w:val="000D39F8"/>
    <w:rsid w:val="000D3D3E"/>
    <w:rsid w:val="000E0085"/>
    <w:rsid w:val="000E7CFB"/>
    <w:rsid w:val="000F4FFB"/>
    <w:rsid w:val="000F7998"/>
    <w:rsid w:val="00103A37"/>
    <w:rsid w:val="00113581"/>
    <w:rsid w:val="00121F87"/>
    <w:rsid w:val="001257FD"/>
    <w:rsid w:val="0012628D"/>
    <w:rsid w:val="0013129D"/>
    <w:rsid w:val="00133C17"/>
    <w:rsid w:val="001358A2"/>
    <w:rsid w:val="00145213"/>
    <w:rsid w:val="0014529C"/>
    <w:rsid w:val="00145478"/>
    <w:rsid w:val="00153ACA"/>
    <w:rsid w:val="00155D81"/>
    <w:rsid w:val="00161F85"/>
    <w:rsid w:val="00170481"/>
    <w:rsid w:val="0017062C"/>
    <w:rsid w:val="00173DB2"/>
    <w:rsid w:val="0017589C"/>
    <w:rsid w:val="00186804"/>
    <w:rsid w:val="00190CBF"/>
    <w:rsid w:val="00190E95"/>
    <w:rsid w:val="00193317"/>
    <w:rsid w:val="00195576"/>
    <w:rsid w:val="001A1AAD"/>
    <w:rsid w:val="001A54B7"/>
    <w:rsid w:val="001B5901"/>
    <w:rsid w:val="001C0132"/>
    <w:rsid w:val="001C1C0E"/>
    <w:rsid w:val="001C26ED"/>
    <w:rsid w:val="001C44D9"/>
    <w:rsid w:val="001E5303"/>
    <w:rsid w:val="001F1CF4"/>
    <w:rsid w:val="001F3805"/>
    <w:rsid w:val="00202FF0"/>
    <w:rsid w:val="00212B13"/>
    <w:rsid w:val="00216C71"/>
    <w:rsid w:val="0022196C"/>
    <w:rsid w:val="0023245C"/>
    <w:rsid w:val="00232F69"/>
    <w:rsid w:val="00236BE6"/>
    <w:rsid w:val="00237690"/>
    <w:rsid w:val="002443CA"/>
    <w:rsid w:val="00244C3C"/>
    <w:rsid w:val="002460C5"/>
    <w:rsid w:val="00256537"/>
    <w:rsid w:val="00264DF1"/>
    <w:rsid w:val="00272288"/>
    <w:rsid w:val="00273635"/>
    <w:rsid w:val="00275102"/>
    <w:rsid w:val="002870AD"/>
    <w:rsid w:val="002A1B9A"/>
    <w:rsid w:val="002C2FC3"/>
    <w:rsid w:val="002D22A8"/>
    <w:rsid w:val="002D45FF"/>
    <w:rsid w:val="002E184E"/>
    <w:rsid w:val="002E5C14"/>
    <w:rsid w:val="002F1B01"/>
    <w:rsid w:val="003022B5"/>
    <w:rsid w:val="003115F2"/>
    <w:rsid w:val="00311E8E"/>
    <w:rsid w:val="00316B8A"/>
    <w:rsid w:val="0031788D"/>
    <w:rsid w:val="0032502F"/>
    <w:rsid w:val="00344836"/>
    <w:rsid w:val="00345DEE"/>
    <w:rsid w:val="0034673A"/>
    <w:rsid w:val="00353FF9"/>
    <w:rsid w:val="00360509"/>
    <w:rsid w:val="00361D45"/>
    <w:rsid w:val="00367237"/>
    <w:rsid w:val="0038454F"/>
    <w:rsid w:val="0038553B"/>
    <w:rsid w:val="00391E6F"/>
    <w:rsid w:val="003A2C37"/>
    <w:rsid w:val="003A7630"/>
    <w:rsid w:val="003C1925"/>
    <w:rsid w:val="003C4F0C"/>
    <w:rsid w:val="003C5179"/>
    <w:rsid w:val="003D31CA"/>
    <w:rsid w:val="003D3B8B"/>
    <w:rsid w:val="003E2412"/>
    <w:rsid w:val="003E488B"/>
    <w:rsid w:val="003F1067"/>
    <w:rsid w:val="003F7858"/>
    <w:rsid w:val="00413068"/>
    <w:rsid w:val="004139CF"/>
    <w:rsid w:val="0042344F"/>
    <w:rsid w:val="00425F77"/>
    <w:rsid w:val="00432A84"/>
    <w:rsid w:val="00437C7E"/>
    <w:rsid w:val="0046078E"/>
    <w:rsid w:val="00460ABF"/>
    <w:rsid w:val="00462B26"/>
    <w:rsid w:val="00464DBB"/>
    <w:rsid w:val="004705A3"/>
    <w:rsid w:val="004716D6"/>
    <w:rsid w:val="00471F60"/>
    <w:rsid w:val="004729CE"/>
    <w:rsid w:val="00476BF8"/>
    <w:rsid w:val="0048102B"/>
    <w:rsid w:val="00481E37"/>
    <w:rsid w:val="00484303"/>
    <w:rsid w:val="00484C12"/>
    <w:rsid w:val="00495D19"/>
    <w:rsid w:val="004961B5"/>
    <w:rsid w:val="004978EB"/>
    <w:rsid w:val="004A7533"/>
    <w:rsid w:val="004B12A9"/>
    <w:rsid w:val="004B3221"/>
    <w:rsid w:val="004B3671"/>
    <w:rsid w:val="004D1ED8"/>
    <w:rsid w:val="004E1A96"/>
    <w:rsid w:val="004E4835"/>
    <w:rsid w:val="004F0119"/>
    <w:rsid w:val="004F41EE"/>
    <w:rsid w:val="004F5CA8"/>
    <w:rsid w:val="004F7E16"/>
    <w:rsid w:val="005041F6"/>
    <w:rsid w:val="0050454F"/>
    <w:rsid w:val="00511183"/>
    <w:rsid w:val="005211A7"/>
    <w:rsid w:val="0052180E"/>
    <w:rsid w:val="00533B52"/>
    <w:rsid w:val="0054151B"/>
    <w:rsid w:val="00543461"/>
    <w:rsid w:val="00543F93"/>
    <w:rsid w:val="00550D4C"/>
    <w:rsid w:val="00561CF5"/>
    <w:rsid w:val="00571706"/>
    <w:rsid w:val="00581A43"/>
    <w:rsid w:val="0058478A"/>
    <w:rsid w:val="00586BED"/>
    <w:rsid w:val="005912F2"/>
    <w:rsid w:val="0059283C"/>
    <w:rsid w:val="005A17EC"/>
    <w:rsid w:val="005A74E4"/>
    <w:rsid w:val="005B0756"/>
    <w:rsid w:val="005B1EA1"/>
    <w:rsid w:val="005E1F1A"/>
    <w:rsid w:val="005F00B6"/>
    <w:rsid w:val="005F00B8"/>
    <w:rsid w:val="005F0167"/>
    <w:rsid w:val="005F1250"/>
    <w:rsid w:val="005F1AC3"/>
    <w:rsid w:val="00605F55"/>
    <w:rsid w:val="00613D61"/>
    <w:rsid w:val="00624199"/>
    <w:rsid w:val="0062553D"/>
    <w:rsid w:val="00625656"/>
    <w:rsid w:val="00631B2B"/>
    <w:rsid w:val="00636551"/>
    <w:rsid w:val="00643327"/>
    <w:rsid w:val="00644A76"/>
    <w:rsid w:val="00644C4E"/>
    <w:rsid w:val="00654C69"/>
    <w:rsid w:val="0067144F"/>
    <w:rsid w:val="00672C9A"/>
    <w:rsid w:val="006742DF"/>
    <w:rsid w:val="0067625B"/>
    <w:rsid w:val="006B21AC"/>
    <w:rsid w:val="006B269F"/>
    <w:rsid w:val="006B3386"/>
    <w:rsid w:val="006B55A8"/>
    <w:rsid w:val="006B679B"/>
    <w:rsid w:val="006B68BF"/>
    <w:rsid w:val="006B6A6C"/>
    <w:rsid w:val="006C04A2"/>
    <w:rsid w:val="006C7193"/>
    <w:rsid w:val="006E0E33"/>
    <w:rsid w:val="006E2071"/>
    <w:rsid w:val="006F7B38"/>
    <w:rsid w:val="00701AFA"/>
    <w:rsid w:val="00717D62"/>
    <w:rsid w:val="0072673E"/>
    <w:rsid w:val="00730AC9"/>
    <w:rsid w:val="00736292"/>
    <w:rsid w:val="00743910"/>
    <w:rsid w:val="00755040"/>
    <w:rsid w:val="00764944"/>
    <w:rsid w:val="007816F9"/>
    <w:rsid w:val="007906C6"/>
    <w:rsid w:val="007973C1"/>
    <w:rsid w:val="007A2A90"/>
    <w:rsid w:val="007A4BF3"/>
    <w:rsid w:val="007B2277"/>
    <w:rsid w:val="007B3B24"/>
    <w:rsid w:val="007B6935"/>
    <w:rsid w:val="007D1709"/>
    <w:rsid w:val="007E0AE4"/>
    <w:rsid w:val="007F1AB7"/>
    <w:rsid w:val="007F3263"/>
    <w:rsid w:val="007F5CDD"/>
    <w:rsid w:val="0080430A"/>
    <w:rsid w:val="00807FD0"/>
    <w:rsid w:val="00811931"/>
    <w:rsid w:val="0081231C"/>
    <w:rsid w:val="00814E58"/>
    <w:rsid w:val="00816819"/>
    <w:rsid w:val="008170CC"/>
    <w:rsid w:val="00824941"/>
    <w:rsid w:val="00831D4E"/>
    <w:rsid w:val="0084271D"/>
    <w:rsid w:val="008447F4"/>
    <w:rsid w:val="008473DE"/>
    <w:rsid w:val="00847BCC"/>
    <w:rsid w:val="00856652"/>
    <w:rsid w:val="00857E5A"/>
    <w:rsid w:val="00872D67"/>
    <w:rsid w:val="00883F7D"/>
    <w:rsid w:val="00884670"/>
    <w:rsid w:val="0089060D"/>
    <w:rsid w:val="00894D39"/>
    <w:rsid w:val="008A3A15"/>
    <w:rsid w:val="008A723C"/>
    <w:rsid w:val="008B08CD"/>
    <w:rsid w:val="008B175E"/>
    <w:rsid w:val="008B4CD2"/>
    <w:rsid w:val="008B4E00"/>
    <w:rsid w:val="008B6761"/>
    <w:rsid w:val="008D31A8"/>
    <w:rsid w:val="008D4AB3"/>
    <w:rsid w:val="008D5D41"/>
    <w:rsid w:val="008F6DFB"/>
    <w:rsid w:val="00901752"/>
    <w:rsid w:val="00904681"/>
    <w:rsid w:val="0090667C"/>
    <w:rsid w:val="009133FB"/>
    <w:rsid w:val="0091524F"/>
    <w:rsid w:val="00920D40"/>
    <w:rsid w:val="0093364D"/>
    <w:rsid w:val="00935A97"/>
    <w:rsid w:val="00941731"/>
    <w:rsid w:val="00944567"/>
    <w:rsid w:val="009446C9"/>
    <w:rsid w:val="00951144"/>
    <w:rsid w:val="00953EA0"/>
    <w:rsid w:val="00961364"/>
    <w:rsid w:val="009729FE"/>
    <w:rsid w:val="00977B01"/>
    <w:rsid w:val="0098086B"/>
    <w:rsid w:val="009914CE"/>
    <w:rsid w:val="0099254A"/>
    <w:rsid w:val="00996FD1"/>
    <w:rsid w:val="009A42C0"/>
    <w:rsid w:val="009A78EA"/>
    <w:rsid w:val="009B4D75"/>
    <w:rsid w:val="009B600C"/>
    <w:rsid w:val="009C3333"/>
    <w:rsid w:val="009C64E3"/>
    <w:rsid w:val="009D00A6"/>
    <w:rsid w:val="009D0BAB"/>
    <w:rsid w:val="009D2878"/>
    <w:rsid w:val="009D6637"/>
    <w:rsid w:val="009E3C92"/>
    <w:rsid w:val="009F4845"/>
    <w:rsid w:val="009F5608"/>
    <w:rsid w:val="009F6A4E"/>
    <w:rsid w:val="009F7262"/>
    <w:rsid w:val="00A006D8"/>
    <w:rsid w:val="00A128F2"/>
    <w:rsid w:val="00A13BCB"/>
    <w:rsid w:val="00A14344"/>
    <w:rsid w:val="00A155EE"/>
    <w:rsid w:val="00A24BC0"/>
    <w:rsid w:val="00A269B6"/>
    <w:rsid w:val="00A27918"/>
    <w:rsid w:val="00A27AD8"/>
    <w:rsid w:val="00A3264B"/>
    <w:rsid w:val="00A33B5D"/>
    <w:rsid w:val="00A34A53"/>
    <w:rsid w:val="00A409D6"/>
    <w:rsid w:val="00A42FCD"/>
    <w:rsid w:val="00A551A2"/>
    <w:rsid w:val="00A617C4"/>
    <w:rsid w:val="00A64E53"/>
    <w:rsid w:val="00A82138"/>
    <w:rsid w:val="00A870C5"/>
    <w:rsid w:val="00A95F28"/>
    <w:rsid w:val="00AA1902"/>
    <w:rsid w:val="00AA65FD"/>
    <w:rsid w:val="00AB6299"/>
    <w:rsid w:val="00AC19F3"/>
    <w:rsid w:val="00AC29FB"/>
    <w:rsid w:val="00AC2C58"/>
    <w:rsid w:val="00AC79E6"/>
    <w:rsid w:val="00AD334C"/>
    <w:rsid w:val="00AD3D27"/>
    <w:rsid w:val="00AD3EFF"/>
    <w:rsid w:val="00AD5C0C"/>
    <w:rsid w:val="00AE19FD"/>
    <w:rsid w:val="00AE775D"/>
    <w:rsid w:val="00AF113B"/>
    <w:rsid w:val="00AF46FF"/>
    <w:rsid w:val="00AF618A"/>
    <w:rsid w:val="00B04450"/>
    <w:rsid w:val="00B257F3"/>
    <w:rsid w:val="00B37452"/>
    <w:rsid w:val="00B42123"/>
    <w:rsid w:val="00B4263F"/>
    <w:rsid w:val="00B51986"/>
    <w:rsid w:val="00B57704"/>
    <w:rsid w:val="00B6157C"/>
    <w:rsid w:val="00B740C9"/>
    <w:rsid w:val="00B8517D"/>
    <w:rsid w:val="00BA548A"/>
    <w:rsid w:val="00BA576E"/>
    <w:rsid w:val="00BD159F"/>
    <w:rsid w:val="00BD475F"/>
    <w:rsid w:val="00BD48DB"/>
    <w:rsid w:val="00BD69A7"/>
    <w:rsid w:val="00BE12CB"/>
    <w:rsid w:val="00BF357E"/>
    <w:rsid w:val="00BF48F4"/>
    <w:rsid w:val="00BF666B"/>
    <w:rsid w:val="00C140E7"/>
    <w:rsid w:val="00C14AD1"/>
    <w:rsid w:val="00C20CAC"/>
    <w:rsid w:val="00C2535A"/>
    <w:rsid w:val="00C30D3C"/>
    <w:rsid w:val="00C43784"/>
    <w:rsid w:val="00C463CE"/>
    <w:rsid w:val="00C50E2E"/>
    <w:rsid w:val="00C522BC"/>
    <w:rsid w:val="00C617D8"/>
    <w:rsid w:val="00C63025"/>
    <w:rsid w:val="00C726C6"/>
    <w:rsid w:val="00C97886"/>
    <w:rsid w:val="00CA3941"/>
    <w:rsid w:val="00CA6E55"/>
    <w:rsid w:val="00CA6EFB"/>
    <w:rsid w:val="00CB32A8"/>
    <w:rsid w:val="00CB550F"/>
    <w:rsid w:val="00CB606C"/>
    <w:rsid w:val="00CC579D"/>
    <w:rsid w:val="00CC5890"/>
    <w:rsid w:val="00CD29B1"/>
    <w:rsid w:val="00CE6FC0"/>
    <w:rsid w:val="00CF06BE"/>
    <w:rsid w:val="00CF3250"/>
    <w:rsid w:val="00CF635D"/>
    <w:rsid w:val="00D00879"/>
    <w:rsid w:val="00D0396F"/>
    <w:rsid w:val="00D04560"/>
    <w:rsid w:val="00D062F8"/>
    <w:rsid w:val="00D07CD2"/>
    <w:rsid w:val="00D14478"/>
    <w:rsid w:val="00D2107D"/>
    <w:rsid w:val="00D22EF2"/>
    <w:rsid w:val="00D33CA7"/>
    <w:rsid w:val="00D34801"/>
    <w:rsid w:val="00D37BBA"/>
    <w:rsid w:val="00D43F58"/>
    <w:rsid w:val="00D52123"/>
    <w:rsid w:val="00D5402A"/>
    <w:rsid w:val="00D554D3"/>
    <w:rsid w:val="00D5662E"/>
    <w:rsid w:val="00D56A2C"/>
    <w:rsid w:val="00D66F60"/>
    <w:rsid w:val="00D70603"/>
    <w:rsid w:val="00D70D51"/>
    <w:rsid w:val="00D72716"/>
    <w:rsid w:val="00D7688B"/>
    <w:rsid w:val="00DA3831"/>
    <w:rsid w:val="00DA5018"/>
    <w:rsid w:val="00DA52C7"/>
    <w:rsid w:val="00DA60CA"/>
    <w:rsid w:val="00DB6295"/>
    <w:rsid w:val="00DC36AD"/>
    <w:rsid w:val="00DC6E02"/>
    <w:rsid w:val="00DD6F84"/>
    <w:rsid w:val="00DE6125"/>
    <w:rsid w:val="00DE761A"/>
    <w:rsid w:val="00DF5806"/>
    <w:rsid w:val="00E00B78"/>
    <w:rsid w:val="00E06BAA"/>
    <w:rsid w:val="00E07CDB"/>
    <w:rsid w:val="00E156B4"/>
    <w:rsid w:val="00E270E6"/>
    <w:rsid w:val="00E3301F"/>
    <w:rsid w:val="00E3352F"/>
    <w:rsid w:val="00E34516"/>
    <w:rsid w:val="00E51FF7"/>
    <w:rsid w:val="00E52646"/>
    <w:rsid w:val="00E536C5"/>
    <w:rsid w:val="00E65E66"/>
    <w:rsid w:val="00E72198"/>
    <w:rsid w:val="00E83D39"/>
    <w:rsid w:val="00EC4486"/>
    <w:rsid w:val="00EC4D79"/>
    <w:rsid w:val="00EC6B05"/>
    <w:rsid w:val="00ED1083"/>
    <w:rsid w:val="00ED35C4"/>
    <w:rsid w:val="00EF0524"/>
    <w:rsid w:val="00EF3B61"/>
    <w:rsid w:val="00EF4758"/>
    <w:rsid w:val="00F05E0A"/>
    <w:rsid w:val="00F10A69"/>
    <w:rsid w:val="00F176CB"/>
    <w:rsid w:val="00F259FF"/>
    <w:rsid w:val="00F311EF"/>
    <w:rsid w:val="00F34317"/>
    <w:rsid w:val="00F34AE9"/>
    <w:rsid w:val="00F418AA"/>
    <w:rsid w:val="00F4344C"/>
    <w:rsid w:val="00F44D6F"/>
    <w:rsid w:val="00F808DB"/>
    <w:rsid w:val="00F80A04"/>
    <w:rsid w:val="00F80B5E"/>
    <w:rsid w:val="00F95434"/>
    <w:rsid w:val="00F96201"/>
    <w:rsid w:val="00F96C82"/>
    <w:rsid w:val="00FB0F97"/>
    <w:rsid w:val="00FC282E"/>
    <w:rsid w:val="00FD29BB"/>
    <w:rsid w:val="00FD40DC"/>
    <w:rsid w:val="00FD481F"/>
    <w:rsid w:val="00FE074D"/>
    <w:rsid w:val="00FE1550"/>
    <w:rsid w:val="00FF0C78"/>
    <w:rsid w:val="00FF11D4"/>
    <w:rsid w:val="00FF1D8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15"/>
    <w:pPr>
      <w:spacing w:after="200" w:line="276" w:lineRule="auto"/>
    </w:pPr>
    <w:rPr>
      <w:lang w:eastAsia="en-US"/>
    </w:rPr>
  </w:style>
  <w:style w:type="paragraph" w:styleId="Heading1">
    <w:name w:val="heading 1"/>
    <w:basedOn w:val="Normal"/>
    <w:next w:val="Normal"/>
    <w:link w:val="Heading1Char"/>
    <w:uiPriority w:val="99"/>
    <w:qFormat/>
    <w:rsid w:val="004961B5"/>
    <w:pPr>
      <w:keepNext/>
      <w:spacing w:after="0" w:line="240" w:lineRule="auto"/>
      <w:outlineLvl w:val="0"/>
    </w:pPr>
    <w:rPr>
      <w:rFonts w:ascii="Times New Roman" w:eastAsia="Times New Roman" w:hAnsi="Times New Roman"/>
      <w:b/>
      <w:sz w:val="26"/>
      <w:szCs w:val="24"/>
      <w:lang w:eastAsia="pl-PL"/>
    </w:rPr>
  </w:style>
  <w:style w:type="paragraph" w:styleId="Heading3">
    <w:name w:val="heading 3"/>
    <w:basedOn w:val="Normal"/>
    <w:next w:val="Normal"/>
    <w:link w:val="Heading3Char"/>
    <w:uiPriority w:val="99"/>
    <w:qFormat/>
    <w:rsid w:val="004961B5"/>
    <w:pPr>
      <w:keepNext/>
      <w:spacing w:before="240" w:after="60" w:line="240" w:lineRule="auto"/>
      <w:outlineLvl w:val="2"/>
    </w:pPr>
    <w:rPr>
      <w:rFonts w:ascii="Arial" w:eastAsia="Times New Roman" w:hAnsi="Arial"/>
      <w:sz w:val="24"/>
      <w:szCs w:val="20"/>
      <w:lang w:eastAsia="pl-PL"/>
    </w:rPr>
  </w:style>
  <w:style w:type="paragraph" w:styleId="Heading5">
    <w:name w:val="heading 5"/>
    <w:basedOn w:val="Normal"/>
    <w:next w:val="Normal"/>
    <w:link w:val="Heading5Char"/>
    <w:uiPriority w:val="99"/>
    <w:qFormat/>
    <w:rsid w:val="004961B5"/>
    <w:pPr>
      <w:keepNext/>
      <w:numPr>
        <w:numId w:val="1"/>
      </w:numPr>
      <w:pBdr>
        <w:top w:val="single" w:sz="12" w:space="1" w:color="auto"/>
        <w:left w:val="single" w:sz="12" w:space="4" w:color="auto"/>
        <w:bottom w:val="single" w:sz="12" w:space="1" w:color="auto"/>
        <w:right w:val="single" w:sz="12" w:space="4" w:color="auto"/>
      </w:pBdr>
      <w:shd w:val="pct12" w:color="auto" w:fill="FFFFFF"/>
      <w:spacing w:after="0" w:line="240" w:lineRule="auto"/>
      <w:outlineLvl w:val="4"/>
    </w:pPr>
    <w:rPr>
      <w:rFonts w:ascii="Times New Roman" w:eastAsia="Times New Roman" w:hAnsi="Times New Roman"/>
      <w:b/>
      <w:sz w:val="28"/>
      <w:szCs w:val="20"/>
      <w:lang w:eastAsia="pl-PL"/>
    </w:rPr>
  </w:style>
  <w:style w:type="paragraph" w:styleId="Heading8">
    <w:name w:val="heading 8"/>
    <w:basedOn w:val="Normal"/>
    <w:next w:val="Normal"/>
    <w:link w:val="Heading8Char"/>
    <w:uiPriority w:val="99"/>
    <w:qFormat/>
    <w:rsid w:val="004961B5"/>
    <w:pPr>
      <w:keepNext/>
      <w:spacing w:after="0" w:line="240" w:lineRule="auto"/>
      <w:outlineLvl w:val="7"/>
    </w:pPr>
    <w:rPr>
      <w:rFonts w:ascii="Times New Roman" w:eastAsia="Times New Roman" w:hAnsi="Times New Roman"/>
      <w:i/>
      <w:sz w:val="26"/>
      <w:szCs w:val="20"/>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61B5"/>
    <w:rPr>
      <w:rFonts w:ascii="Times New Roman" w:hAnsi="Times New Roman" w:cs="Times New Roman"/>
      <w:b/>
      <w:sz w:val="24"/>
      <w:szCs w:val="24"/>
    </w:rPr>
  </w:style>
  <w:style w:type="character" w:customStyle="1" w:styleId="Heading3Char">
    <w:name w:val="Heading 3 Char"/>
    <w:basedOn w:val="DefaultParagraphFont"/>
    <w:link w:val="Heading3"/>
    <w:uiPriority w:val="99"/>
    <w:locked/>
    <w:rsid w:val="004961B5"/>
    <w:rPr>
      <w:rFonts w:ascii="Arial" w:hAnsi="Arial" w:cs="Times New Roman"/>
      <w:sz w:val="24"/>
    </w:rPr>
  </w:style>
  <w:style w:type="character" w:customStyle="1" w:styleId="Heading5Char">
    <w:name w:val="Heading 5 Char"/>
    <w:basedOn w:val="DefaultParagraphFont"/>
    <w:link w:val="Heading5"/>
    <w:uiPriority w:val="99"/>
    <w:locked/>
    <w:rsid w:val="004961B5"/>
    <w:rPr>
      <w:rFonts w:ascii="Times New Roman" w:hAnsi="Times New Roman" w:cs="Times New Roman"/>
      <w:b/>
      <w:sz w:val="28"/>
      <w:shd w:val="pct12" w:color="auto" w:fill="FFFFFF"/>
    </w:rPr>
  </w:style>
  <w:style w:type="character" w:customStyle="1" w:styleId="Heading8Char">
    <w:name w:val="Heading 8 Char"/>
    <w:basedOn w:val="DefaultParagraphFont"/>
    <w:link w:val="Heading8"/>
    <w:uiPriority w:val="99"/>
    <w:locked/>
    <w:rsid w:val="004961B5"/>
    <w:rPr>
      <w:rFonts w:ascii="Times New Roman" w:hAnsi="Times New Roman" w:cs="Times New Roman"/>
      <w:i/>
      <w:sz w:val="26"/>
    </w:rPr>
  </w:style>
  <w:style w:type="paragraph" w:styleId="BodyTextIndent">
    <w:name w:val="Body Text Indent"/>
    <w:basedOn w:val="Normal"/>
    <w:link w:val="BodyTextIndentChar"/>
    <w:uiPriority w:val="99"/>
    <w:rsid w:val="00113581"/>
    <w:pPr>
      <w:spacing w:before="120" w:after="0" w:line="240" w:lineRule="auto"/>
      <w:jc w:val="both"/>
    </w:pPr>
    <w:rPr>
      <w:rFonts w:ascii="Times New Roman" w:eastAsia="Times New Roman" w:hAnsi="Times New Roman"/>
      <w:color w:val="000000"/>
      <w:sz w:val="24"/>
      <w:szCs w:val="24"/>
      <w:lang w:eastAsia="pl-PL"/>
    </w:rPr>
  </w:style>
  <w:style w:type="character" w:customStyle="1" w:styleId="BodyTextIndentChar">
    <w:name w:val="Body Text Indent Char"/>
    <w:basedOn w:val="DefaultParagraphFont"/>
    <w:link w:val="BodyTextIndent"/>
    <w:uiPriority w:val="99"/>
    <w:locked/>
    <w:rsid w:val="00113581"/>
    <w:rPr>
      <w:rFonts w:ascii="Times New Roman" w:hAnsi="Times New Roman" w:cs="Times New Roman"/>
      <w:color w:val="000000"/>
      <w:sz w:val="24"/>
      <w:szCs w:val="24"/>
    </w:rPr>
  </w:style>
  <w:style w:type="paragraph" w:styleId="BodyText">
    <w:name w:val="Body Text"/>
    <w:basedOn w:val="Normal"/>
    <w:link w:val="BodyTextChar"/>
    <w:uiPriority w:val="99"/>
    <w:rsid w:val="004961B5"/>
    <w:pPr>
      <w:spacing w:after="120"/>
    </w:pPr>
  </w:style>
  <w:style w:type="character" w:customStyle="1" w:styleId="BodyTextChar">
    <w:name w:val="Body Text Char"/>
    <w:basedOn w:val="DefaultParagraphFont"/>
    <w:link w:val="BodyText"/>
    <w:uiPriority w:val="99"/>
    <w:locked/>
    <w:rsid w:val="004961B5"/>
    <w:rPr>
      <w:rFonts w:cs="Times New Roman"/>
      <w:sz w:val="22"/>
      <w:szCs w:val="22"/>
      <w:lang w:eastAsia="en-US"/>
    </w:rPr>
  </w:style>
  <w:style w:type="paragraph" w:styleId="BodyText3">
    <w:name w:val="Body Text 3"/>
    <w:basedOn w:val="Normal"/>
    <w:link w:val="BodyText3Char"/>
    <w:uiPriority w:val="99"/>
    <w:rsid w:val="004961B5"/>
    <w:pPr>
      <w:spacing w:after="120"/>
    </w:pPr>
    <w:rPr>
      <w:sz w:val="16"/>
      <w:szCs w:val="16"/>
    </w:rPr>
  </w:style>
  <w:style w:type="character" w:customStyle="1" w:styleId="BodyText3Char">
    <w:name w:val="Body Text 3 Char"/>
    <w:basedOn w:val="DefaultParagraphFont"/>
    <w:link w:val="BodyText3"/>
    <w:uiPriority w:val="99"/>
    <w:locked/>
    <w:rsid w:val="004961B5"/>
    <w:rPr>
      <w:rFonts w:cs="Times New Roman"/>
      <w:sz w:val="16"/>
      <w:szCs w:val="16"/>
      <w:lang w:eastAsia="en-US"/>
    </w:rPr>
  </w:style>
  <w:style w:type="paragraph" w:styleId="Footer">
    <w:name w:val="footer"/>
    <w:basedOn w:val="Normal"/>
    <w:link w:val="FooterChar"/>
    <w:uiPriority w:val="99"/>
    <w:rsid w:val="004961B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FooterChar">
    <w:name w:val="Footer Char"/>
    <w:basedOn w:val="DefaultParagraphFont"/>
    <w:link w:val="Footer"/>
    <w:uiPriority w:val="99"/>
    <w:locked/>
    <w:rsid w:val="004961B5"/>
    <w:rPr>
      <w:rFonts w:ascii="Times New Roman" w:hAnsi="Times New Roman" w:cs="Times New Roman"/>
      <w:sz w:val="24"/>
      <w:szCs w:val="24"/>
    </w:rPr>
  </w:style>
  <w:style w:type="paragraph" w:styleId="Header">
    <w:name w:val="header"/>
    <w:basedOn w:val="Normal"/>
    <w:link w:val="HeaderChar"/>
    <w:uiPriority w:val="99"/>
    <w:rsid w:val="004961B5"/>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HeaderChar">
    <w:name w:val="Header Char"/>
    <w:basedOn w:val="DefaultParagraphFont"/>
    <w:link w:val="Header"/>
    <w:uiPriority w:val="99"/>
    <w:locked/>
    <w:rsid w:val="004961B5"/>
    <w:rPr>
      <w:rFonts w:ascii="Times New Roman" w:hAnsi="Times New Roman" w:cs="Times New Roman"/>
      <w:sz w:val="24"/>
      <w:szCs w:val="24"/>
    </w:rPr>
  </w:style>
  <w:style w:type="paragraph" w:styleId="ListParagraph">
    <w:name w:val="List Paragraph"/>
    <w:basedOn w:val="Normal"/>
    <w:uiPriority w:val="99"/>
    <w:qFormat/>
    <w:rsid w:val="00E06BAA"/>
    <w:pPr>
      <w:ind w:left="708"/>
    </w:pPr>
  </w:style>
  <w:style w:type="paragraph" w:styleId="EndnoteText">
    <w:name w:val="endnote text"/>
    <w:basedOn w:val="Normal"/>
    <w:link w:val="EndnoteTextChar"/>
    <w:uiPriority w:val="99"/>
    <w:semiHidden/>
    <w:rsid w:val="009F6A4E"/>
    <w:rPr>
      <w:sz w:val="20"/>
      <w:szCs w:val="20"/>
    </w:rPr>
  </w:style>
  <w:style w:type="character" w:customStyle="1" w:styleId="EndnoteTextChar">
    <w:name w:val="Endnote Text Char"/>
    <w:basedOn w:val="DefaultParagraphFont"/>
    <w:link w:val="EndnoteText"/>
    <w:uiPriority w:val="99"/>
    <w:semiHidden/>
    <w:locked/>
    <w:rsid w:val="009F6A4E"/>
    <w:rPr>
      <w:rFonts w:cs="Times New Roman"/>
      <w:lang w:eastAsia="en-US"/>
    </w:rPr>
  </w:style>
  <w:style w:type="character" w:styleId="EndnoteReference">
    <w:name w:val="endnote reference"/>
    <w:basedOn w:val="DefaultParagraphFont"/>
    <w:uiPriority w:val="99"/>
    <w:semiHidden/>
    <w:rsid w:val="009F6A4E"/>
    <w:rPr>
      <w:rFonts w:cs="Times New Roman"/>
      <w:vertAlign w:val="superscript"/>
    </w:rPr>
  </w:style>
  <w:style w:type="paragraph" w:styleId="FootnoteText">
    <w:name w:val="footnote text"/>
    <w:basedOn w:val="Normal"/>
    <w:link w:val="FootnoteTextChar"/>
    <w:uiPriority w:val="99"/>
    <w:semiHidden/>
    <w:rsid w:val="00FF0C78"/>
    <w:rPr>
      <w:sz w:val="20"/>
      <w:szCs w:val="20"/>
    </w:rPr>
  </w:style>
  <w:style w:type="character" w:customStyle="1" w:styleId="FootnoteTextChar">
    <w:name w:val="Footnote Text Char"/>
    <w:basedOn w:val="DefaultParagraphFont"/>
    <w:link w:val="FootnoteText"/>
    <w:uiPriority w:val="99"/>
    <w:semiHidden/>
    <w:locked/>
    <w:rsid w:val="00FF0C78"/>
    <w:rPr>
      <w:rFonts w:cs="Times New Roman"/>
      <w:lang w:eastAsia="en-US"/>
    </w:rPr>
  </w:style>
  <w:style w:type="character" w:styleId="FootnoteReference">
    <w:name w:val="footnote reference"/>
    <w:basedOn w:val="DefaultParagraphFont"/>
    <w:uiPriority w:val="99"/>
    <w:semiHidden/>
    <w:rsid w:val="00FF0C78"/>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0416039">
      <w:marLeft w:val="0"/>
      <w:marRight w:val="0"/>
      <w:marTop w:val="0"/>
      <w:marBottom w:val="0"/>
      <w:divBdr>
        <w:top w:val="none" w:sz="0" w:space="0" w:color="auto"/>
        <w:left w:val="none" w:sz="0" w:space="0" w:color="auto"/>
        <w:bottom w:val="none" w:sz="0" w:space="0" w:color="auto"/>
        <w:right w:val="none" w:sz="0" w:space="0" w:color="auto"/>
      </w:divBdr>
    </w:div>
    <w:div w:id="100416044">
      <w:marLeft w:val="0"/>
      <w:marRight w:val="0"/>
      <w:marTop w:val="0"/>
      <w:marBottom w:val="0"/>
      <w:divBdr>
        <w:top w:val="none" w:sz="0" w:space="0" w:color="auto"/>
        <w:left w:val="none" w:sz="0" w:space="0" w:color="auto"/>
        <w:bottom w:val="none" w:sz="0" w:space="0" w:color="auto"/>
        <w:right w:val="none" w:sz="0" w:space="0" w:color="auto"/>
      </w:divBdr>
      <w:divsChild>
        <w:div w:id="100416040">
          <w:marLeft w:val="0"/>
          <w:marRight w:val="0"/>
          <w:marTop w:val="0"/>
          <w:marBottom w:val="0"/>
          <w:divBdr>
            <w:top w:val="none" w:sz="0" w:space="0" w:color="auto"/>
            <w:left w:val="none" w:sz="0" w:space="0" w:color="auto"/>
            <w:bottom w:val="none" w:sz="0" w:space="0" w:color="auto"/>
            <w:right w:val="none" w:sz="0" w:space="0" w:color="auto"/>
          </w:divBdr>
          <w:divsChild>
            <w:div w:id="100416043">
              <w:marLeft w:val="0"/>
              <w:marRight w:val="0"/>
              <w:marTop w:val="0"/>
              <w:marBottom w:val="0"/>
              <w:divBdr>
                <w:top w:val="none" w:sz="0" w:space="0" w:color="auto"/>
                <w:left w:val="none" w:sz="0" w:space="0" w:color="auto"/>
                <w:bottom w:val="none" w:sz="0" w:space="0" w:color="auto"/>
                <w:right w:val="none" w:sz="0" w:space="0" w:color="auto"/>
              </w:divBdr>
              <w:divsChild>
                <w:div w:id="100416042">
                  <w:marLeft w:val="0"/>
                  <w:marRight w:val="0"/>
                  <w:marTop w:val="0"/>
                  <w:marBottom w:val="0"/>
                  <w:divBdr>
                    <w:top w:val="none" w:sz="0" w:space="0" w:color="auto"/>
                    <w:left w:val="none" w:sz="0" w:space="0" w:color="auto"/>
                    <w:bottom w:val="none" w:sz="0" w:space="0" w:color="auto"/>
                    <w:right w:val="none" w:sz="0" w:space="0" w:color="auto"/>
                  </w:divBdr>
                  <w:divsChild>
                    <w:div w:id="100416041">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2808</Words>
  <Characters>16849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florianczyki</dc:creator>
  <cp:keywords/>
  <dc:description/>
  <cp:lastModifiedBy>Krzysztof Andrzejczak</cp:lastModifiedBy>
  <cp:revision>2</cp:revision>
  <cp:lastPrinted>2012-04-10T07:45:00Z</cp:lastPrinted>
  <dcterms:created xsi:type="dcterms:W3CDTF">2012-04-19T10:41:00Z</dcterms:created>
  <dcterms:modified xsi:type="dcterms:W3CDTF">2012-04-19T10:41:00Z</dcterms:modified>
</cp:coreProperties>
</file>