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0" w:rsidRDefault="006A5ED0" w:rsidP="006A5E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Wytyczne do zadania problemowego</w:t>
      </w:r>
    </w:p>
    <w:p w:rsidR="006A5ED0" w:rsidRDefault="006A5ED0" w:rsidP="006A5E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egzamin dla osób ubiegających się o licencję doradcy restrukturyzacyjnego</w:t>
      </w:r>
      <w:r>
        <w:rPr>
          <w:rFonts w:ascii="Times New Roman" w:hAnsi="Times New Roman"/>
          <w:b/>
          <w:sz w:val="24"/>
          <w:szCs w:val="24"/>
        </w:rPr>
        <w:br/>
        <w:t xml:space="preserve"> wyznaczony na dzień 7 października 2019 r.</w:t>
      </w:r>
    </w:p>
    <w:p w:rsidR="006A5ED0" w:rsidRDefault="006A5ED0" w:rsidP="006A5E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ED0" w:rsidRPr="006A5ED0" w:rsidRDefault="006A5ED0" w:rsidP="00A04FB4">
      <w:pPr>
        <w:suppressAutoHyphens w:val="0"/>
        <w:autoSpaceDN/>
        <w:spacing w:after="160" w:line="36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A5ED0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A04FB4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A5ED0">
        <w:rPr>
          <w:rFonts w:ascii="Times New Roman" w:eastAsiaTheme="minorHAnsi" w:hAnsi="Times New Roman"/>
          <w:sz w:val="24"/>
          <w:szCs w:val="24"/>
        </w:rPr>
        <w:t>Status nabywcy, w rozumieniu przepisów Pr</w:t>
      </w:r>
      <w:r w:rsidR="00796A5B">
        <w:rPr>
          <w:rFonts w:ascii="Times New Roman" w:eastAsiaTheme="minorHAnsi" w:hAnsi="Times New Roman"/>
          <w:sz w:val="24"/>
          <w:szCs w:val="24"/>
        </w:rPr>
        <w:t>awa upadłościowego, przysługuje</w:t>
      </w:r>
      <w:r w:rsidRPr="006A5ED0">
        <w:rPr>
          <w:rFonts w:ascii="Times New Roman" w:eastAsiaTheme="minorHAnsi" w:hAnsi="Times New Roman"/>
          <w:sz w:val="24"/>
          <w:szCs w:val="24"/>
        </w:rPr>
        <w:t xml:space="preserve"> Ewelinie Dąbrowskiej,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Janex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 Sp. z o.o.</w:t>
      </w:r>
      <w:r w:rsidR="00687743">
        <w:rPr>
          <w:rFonts w:ascii="Times New Roman" w:eastAsiaTheme="minorHAnsi" w:hAnsi="Times New Roman"/>
          <w:sz w:val="24"/>
          <w:szCs w:val="24"/>
        </w:rPr>
        <w:t xml:space="preserve"> z siedzibą w K.</w:t>
      </w:r>
      <w:r w:rsidRPr="006A5ED0">
        <w:rPr>
          <w:rFonts w:ascii="Times New Roman" w:eastAsiaTheme="minorHAnsi" w:hAnsi="Times New Roman"/>
          <w:sz w:val="24"/>
          <w:szCs w:val="24"/>
        </w:rPr>
        <w:t xml:space="preserve"> i Adamowi Nowakowi, gdyż zgodnie </w:t>
      </w:r>
      <w:r w:rsidR="00687743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 xml:space="preserve">z art. 425c pkt 1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, nabywcą jest osoba fizyczna, osoba prawna, jednostka organizacyjna, której osobna ustawa przyznaje zdolność prawną. Zgodnie z definicją nabywcy zawartą w art. 425c pkt 1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, jest to podmiot, względem którego deweloper zobowiązał się do przeniesienia prawa, </w:t>
      </w:r>
      <w:r w:rsidR="00982F3E">
        <w:rPr>
          <w:rFonts w:ascii="Times New Roman" w:eastAsiaTheme="minorHAnsi" w:hAnsi="Times New Roman"/>
          <w:sz w:val="24"/>
          <w:szCs w:val="24"/>
        </w:rPr>
        <w:t xml:space="preserve">o </w:t>
      </w:r>
      <w:r w:rsidRPr="006A5ED0">
        <w:rPr>
          <w:rFonts w:ascii="Times New Roman" w:eastAsiaTheme="minorHAnsi" w:hAnsi="Times New Roman"/>
          <w:sz w:val="24"/>
          <w:szCs w:val="24"/>
        </w:rPr>
        <w:t>którym mowa w art. 1 ustawy z dnia 16 września 2011 r. o ochronie praw nabywcy lokalu mieszkalnego lub domu jednorodzinnego (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. Dz. U. z 2017 r. poz. 1468, ze zm.). Statusu nabywcy nie ma Piotr Malinowski, który zawarł umowę dotyczącą lokalu użytkowego. Takiego statusu nie ma także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Budus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 S.A.</w:t>
      </w:r>
      <w:r w:rsidR="00687743">
        <w:rPr>
          <w:rFonts w:ascii="Times New Roman" w:eastAsiaTheme="minorHAnsi" w:hAnsi="Times New Roman"/>
          <w:sz w:val="24"/>
          <w:szCs w:val="24"/>
        </w:rPr>
        <w:t xml:space="preserve"> z siedzibą w K.</w:t>
      </w:r>
      <w:r w:rsidRPr="006A5ED0">
        <w:rPr>
          <w:rFonts w:ascii="Times New Roman" w:eastAsiaTheme="minorHAnsi" w:hAnsi="Times New Roman"/>
          <w:sz w:val="24"/>
          <w:szCs w:val="24"/>
        </w:rPr>
        <w:t xml:space="preserve">, albowiem nie zawarł umowy deweloperskiej w rozumieniu art. 425c pkt 3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>.</w:t>
      </w:r>
    </w:p>
    <w:p w:rsidR="006A5ED0" w:rsidRPr="006A5ED0" w:rsidRDefault="006A5ED0" w:rsidP="00A04FB4">
      <w:pPr>
        <w:suppressAutoHyphens w:val="0"/>
        <w:autoSpaceDN/>
        <w:spacing w:after="160" w:line="36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A5ED0">
        <w:rPr>
          <w:rFonts w:ascii="Times New Roman" w:eastAsiaTheme="minorHAnsi" w:hAnsi="Times New Roman"/>
          <w:b/>
          <w:sz w:val="24"/>
          <w:szCs w:val="24"/>
        </w:rPr>
        <w:t>2.</w:t>
      </w:r>
      <w:r w:rsidR="00A04FB4">
        <w:rPr>
          <w:rFonts w:ascii="Times New Roman" w:eastAsiaTheme="minorHAnsi" w:hAnsi="Times New Roman"/>
          <w:sz w:val="24"/>
          <w:szCs w:val="24"/>
        </w:rPr>
        <w:tab/>
      </w:r>
      <w:r w:rsidRPr="006A5ED0">
        <w:rPr>
          <w:rFonts w:ascii="Times New Roman" w:eastAsiaTheme="minorHAnsi" w:hAnsi="Times New Roman"/>
          <w:sz w:val="24"/>
          <w:szCs w:val="24"/>
        </w:rPr>
        <w:t xml:space="preserve">W postępowaniu upadłościowym wobec dewelopera możliwe jest zgłaszanie roszczeń </w:t>
      </w:r>
      <w:r w:rsidR="00796A5B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 xml:space="preserve">o charakterze niepieniężnym, gdyż </w:t>
      </w:r>
      <w:r w:rsidR="00796A5B" w:rsidRPr="006A5ED0">
        <w:rPr>
          <w:rFonts w:ascii="Times New Roman" w:eastAsiaTheme="minorHAnsi" w:hAnsi="Times New Roman"/>
          <w:sz w:val="24"/>
          <w:szCs w:val="24"/>
        </w:rPr>
        <w:t>na podstawie art. 425f ust. 1 i art. 425l ust. 6</w:t>
      </w:r>
      <w:r w:rsidR="00982F3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82F3E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="00796A5B" w:rsidRPr="006A5ED0">
        <w:rPr>
          <w:rFonts w:ascii="Times New Roman" w:eastAsiaTheme="minorHAnsi" w:hAnsi="Times New Roman"/>
          <w:sz w:val="24"/>
          <w:szCs w:val="24"/>
        </w:rPr>
        <w:t>,</w:t>
      </w:r>
      <w:r w:rsidR="00796A5B">
        <w:rPr>
          <w:rFonts w:ascii="Times New Roman" w:eastAsiaTheme="minorHAnsi" w:hAnsi="Times New Roman"/>
          <w:sz w:val="24"/>
          <w:szCs w:val="24"/>
        </w:rPr>
        <w:t xml:space="preserve"> </w:t>
      </w:r>
      <w:r w:rsidR="00982F3E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 xml:space="preserve">do roszczenia nabywcy z umowy deweloperskiej, przepisu art. 91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 nie stosuje się. </w:t>
      </w:r>
      <w:r w:rsidR="00A04FB4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>W takim przypadku roszczenie niepieniężne nabywcy zaspokajane jest przez przeniesienie własności lokalu</w:t>
      </w:r>
      <w:r w:rsidR="00982F3E">
        <w:rPr>
          <w:rFonts w:ascii="Times New Roman" w:eastAsiaTheme="minorHAnsi" w:hAnsi="Times New Roman"/>
          <w:sz w:val="24"/>
          <w:szCs w:val="24"/>
        </w:rPr>
        <w:t xml:space="preserve"> mieszkalnego</w:t>
      </w:r>
      <w:r w:rsidRPr="006A5ED0">
        <w:rPr>
          <w:rFonts w:ascii="Times New Roman" w:eastAsiaTheme="minorHAnsi" w:hAnsi="Times New Roman"/>
          <w:sz w:val="24"/>
          <w:szCs w:val="24"/>
        </w:rPr>
        <w:t xml:space="preserve">. W opisanym stanie faktycznym roszczenia niepieniężne przysługują jedynie niektórym wierzycielom, tj. Ewelinie Dąbrowskiej,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Janex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 sp. z o.o.</w:t>
      </w:r>
      <w:r w:rsidR="00687743">
        <w:rPr>
          <w:rFonts w:ascii="Times New Roman" w:eastAsiaTheme="minorHAnsi" w:hAnsi="Times New Roman"/>
          <w:sz w:val="24"/>
          <w:szCs w:val="24"/>
        </w:rPr>
        <w:t xml:space="preserve"> z siedzibą w K.</w:t>
      </w:r>
      <w:r w:rsidRPr="006A5ED0">
        <w:rPr>
          <w:rFonts w:ascii="Times New Roman" w:eastAsiaTheme="minorHAnsi" w:hAnsi="Times New Roman"/>
          <w:sz w:val="24"/>
          <w:szCs w:val="24"/>
        </w:rPr>
        <w:t xml:space="preserve"> i Adamowi Nowakowi. Jednocześnie po uprawomocnieniu się postanowienia sędziego-komisarza o wyrażeniu zgody na zaprzestanie dalszego prowadzenia przedsięwzięcia deweloperskiego zgodnie z art. 425h ust. 2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, z mocy prawa następuje skutek odstąpienia od umów deweloperskich na podstawie art. 98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, </w:t>
      </w:r>
      <w:r w:rsidR="00687743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 xml:space="preserve">a do roszczeń nabywców wynikających z tych umów stosuje się odpowiednio przepis </w:t>
      </w:r>
      <w:r w:rsidR="00687743">
        <w:rPr>
          <w:rFonts w:ascii="Times New Roman" w:eastAsiaTheme="minorHAnsi" w:hAnsi="Times New Roman"/>
          <w:sz w:val="24"/>
          <w:szCs w:val="24"/>
        </w:rPr>
        <w:br/>
      </w:r>
      <w:r w:rsidRPr="006A5ED0">
        <w:rPr>
          <w:rFonts w:ascii="Times New Roman" w:eastAsiaTheme="minorHAnsi" w:hAnsi="Times New Roman"/>
          <w:sz w:val="24"/>
          <w:szCs w:val="24"/>
        </w:rPr>
        <w:t xml:space="preserve">art. 91 </w:t>
      </w:r>
      <w:proofErr w:type="spellStart"/>
      <w:r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Pr="006A5ED0">
        <w:rPr>
          <w:rFonts w:ascii="Times New Roman" w:eastAsiaTheme="minorHAnsi" w:hAnsi="Times New Roman"/>
          <w:sz w:val="24"/>
          <w:szCs w:val="24"/>
        </w:rPr>
        <w:t xml:space="preserve">. Oznacza to, że nabywca w miejsce roszczenia niepieniężnego uzyskuje roszczenie o zwrot kwoty zapłaconej na poczet ceny sprzedaży. </w:t>
      </w:r>
    </w:p>
    <w:p w:rsidR="00C914BE" w:rsidRPr="00FD168E" w:rsidRDefault="00A04FB4" w:rsidP="00FD168E">
      <w:pPr>
        <w:suppressAutoHyphens w:val="0"/>
        <w:autoSpaceDN/>
        <w:spacing w:after="160" w:line="36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Na podstawie art. 425 l ust. 2 </w:t>
      </w:r>
      <w:proofErr w:type="spellStart"/>
      <w:r w:rsidR="006A5ED0" w:rsidRPr="006A5ED0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="00796A5B">
        <w:rPr>
          <w:rFonts w:ascii="Times New Roman" w:eastAsiaTheme="minorHAnsi" w:hAnsi="Times New Roman"/>
          <w:sz w:val="24"/>
          <w:szCs w:val="24"/>
        </w:rPr>
        <w:t>,</w:t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A5ED0" w:rsidRPr="006A5ED0">
        <w:rPr>
          <w:rFonts w:ascii="Times New Roman" w:eastAsiaTheme="minorHAnsi" w:hAnsi="Times New Roman"/>
          <w:sz w:val="24"/>
          <w:szCs w:val="24"/>
        </w:rPr>
        <w:t>BudoDom</w:t>
      </w:r>
      <w:proofErr w:type="spellEnd"/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 S.A.</w:t>
      </w:r>
      <w:r w:rsidR="00EF34CF">
        <w:rPr>
          <w:rFonts w:ascii="Times New Roman" w:eastAsiaTheme="minorHAnsi" w:hAnsi="Times New Roman"/>
          <w:sz w:val="24"/>
          <w:szCs w:val="24"/>
        </w:rPr>
        <w:t xml:space="preserve"> z siedzibą w K.</w:t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 jako nabywca nieruchomości, na której realizowane jest przedsięwzięcie deweloperskie i który zobowiązał się do jego kontynuacji</w:t>
      </w:r>
      <w:r w:rsidR="00687743">
        <w:rPr>
          <w:rFonts w:ascii="Times New Roman" w:eastAsiaTheme="minorHAnsi" w:hAnsi="Times New Roman"/>
          <w:sz w:val="24"/>
          <w:szCs w:val="24"/>
        </w:rPr>
        <w:t>,</w:t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 odpowiada solidarnie z upadłym za zobowiązania </w:t>
      </w:r>
      <w:r w:rsidR="00EF34CF">
        <w:rPr>
          <w:rFonts w:ascii="Times New Roman" w:eastAsiaTheme="minorHAnsi" w:hAnsi="Times New Roman"/>
          <w:sz w:val="24"/>
          <w:szCs w:val="24"/>
        </w:rPr>
        <w:br/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z umów deweloperskich. </w:t>
      </w:r>
      <w:r w:rsidR="00EF34CF">
        <w:rPr>
          <w:rFonts w:ascii="Times New Roman" w:eastAsiaTheme="minorHAnsi" w:hAnsi="Times New Roman"/>
          <w:sz w:val="24"/>
          <w:szCs w:val="24"/>
        </w:rPr>
        <w:t>Z</w:t>
      </w:r>
      <w:r w:rsidR="006A5ED0" w:rsidRPr="006A5ED0">
        <w:rPr>
          <w:rFonts w:ascii="Times New Roman" w:eastAsiaTheme="minorHAnsi" w:hAnsi="Times New Roman"/>
          <w:sz w:val="24"/>
          <w:szCs w:val="24"/>
        </w:rPr>
        <w:t xml:space="preserve">obowiązania z umów deweloperskich nie podlegają </w:t>
      </w:r>
      <w:r w:rsidR="00687743">
        <w:rPr>
          <w:rFonts w:ascii="Times New Roman" w:eastAsiaTheme="minorHAnsi" w:hAnsi="Times New Roman"/>
          <w:sz w:val="24"/>
          <w:szCs w:val="24"/>
        </w:rPr>
        <w:t xml:space="preserve">jednak </w:t>
      </w:r>
      <w:bookmarkStart w:id="0" w:name="_GoBack"/>
      <w:bookmarkEnd w:id="0"/>
      <w:r w:rsidR="006A5ED0" w:rsidRPr="006A5ED0">
        <w:rPr>
          <w:rFonts w:ascii="Times New Roman" w:eastAsiaTheme="minorHAnsi" w:hAnsi="Times New Roman"/>
          <w:sz w:val="24"/>
          <w:szCs w:val="24"/>
        </w:rPr>
        <w:t>zaspokojeniu w postępowaniu upadłości</w:t>
      </w:r>
      <w:r w:rsidR="00EF34CF">
        <w:rPr>
          <w:rFonts w:ascii="Times New Roman" w:eastAsiaTheme="minorHAnsi" w:hAnsi="Times New Roman"/>
          <w:sz w:val="24"/>
          <w:szCs w:val="24"/>
        </w:rPr>
        <w:t>owym prowadzonym wobec upadłego, natomiast podlegają zaspokojeniu</w:t>
      </w:r>
      <w:r w:rsidR="00687743">
        <w:rPr>
          <w:rFonts w:ascii="Times New Roman" w:eastAsiaTheme="minorHAnsi" w:hAnsi="Times New Roman"/>
          <w:sz w:val="24"/>
          <w:szCs w:val="24"/>
        </w:rPr>
        <w:t xml:space="preserve"> w czasie trwania postępowania upadłościowego</w:t>
      </w:r>
      <w:r w:rsidR="00EF34CF">
        <w:rPr>
          <w:rFonts w:ascii="Times New Roman" w:eastAsiaTheme="minorHAnsi" w:hAnsi="Times New Roman"/>
          <w:sz w:val="24"/>
          <w:szCs w:val="24"/>
        </w:rPr>
        <w:t xml:space="preserve"> przez </w:t>
      </w:r>
      <w:proofErr w:type="spellStart"/>
      <w:r w:rsidR="00EF34CF">
        <w:rPr>
          <w:rFonts w:ascii="Times New Roman" w:eastAsiaTheme="minorHAnsi" w:hAnsi="Times New Roman"/>
          <w:sz w:val="24"/>
          <w:szCs w:val="24"/>
        </w:rPr>
        <w:t>BudDom</w:t>
      </w:r>
      <w:proofErr w:type="spellEnd"/>
      <w:r w:rsidR="00EF34CF">
        <w:rPr>
          <w:rFonts w:ascii="Times New Roman" w:eastAsiaTheme="minorHAnsi" w:hAnsi="Times New Roman"/>
          <w:sz w:val="24"/>
          <w:szCs w:val="24"/>
        </w:rPr>
        <w:t xml:space="preserve"> S.A. z siedzibą w K. (art. 425 l ust. 2 zdanie drugie </w:t>
      </w:r>
      <w:proofErr w:type="spellStart"/>
      <w:r w:rsidR="00EF34CF">
        <w:rPr>
          <w:rFonts w:ascii="Times New Roman" w:eastAsiaTheme="minorHAnsi" w:hAnsi="Times New Roman"/>
          <w:sz w:val="24"/>
          <w:szCs w:val="24"/>
        </w:rPr>
        <w:t>PrU</w:t>
      </w:r>
      <w:proofErr w:type="spellEnd"/>
      <w:r w:rsidR="00EF34CF">
        <w:rPr>
          <w:rFonts w:ascii="Times New Roman" w:eastAsiaTheme="minorHAnsi" w:hAnsi="Times New Roman"/>
          <w:sz w:val="24"/>
          <w:szCs w:val="24"/>
        </w:rPr>
        <w:t>).</w:t>
      </w:r>
    </w:p>
    <w:sectPr w:rsidR="00C914BE" w:rsidRPr="00FD168E" w:rsidSect="00FD168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F"/>
    <w:rsid w:val="00041460"/>
    <w:rsid w:val="005F5224"/>
    <w:rsid w:val="00687743"/>
    <w:rsid w:val="006A5ED0"/>
    <w:rsid w:val="00796A5B"/>
    <w:rsid w:val="00982F3E"/>
    <w:rsid w:val="00A04FB4"/>
    <w:rsid w:val="00C914BE"/>
    <w:rsid w:val="00ED465F"/>
    <w:rsid w:val="00EF34CF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ED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ED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syndyk</dc:creator>
  <cp:keywords/>
  <dc:description/>
  <cp:lastModifiedBy>syndyk</cp:lastModifiedBy>
  <cp:revision>11</cp:revision>
  <cp:lastPrinted>2019-09-20T10:43:00Z</cp:lastPrinted>
  <dcterms:created xsi:type="dcterms:W3CDTF">2019-09-17T10:04:00Z</dcterms:created>
  <dcterms:modified xsi:type="dcterms:W3CDTF">2019-09-20T10:57:00Z</dcterms:modified>
</cp:coreProperties>
</file>