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BD" w:rsidRPr="001D1B59" w:rsidRDefault="00CB7ABD" w:rsidP="00CB7ABD">
      <w:pPr>
        <w:pStyle w:val="Nagwek2"/>
        <w:numPr>
          <w:ilvl w:val="0"/>
          <w:numId w:val="0"/>
        </w:numPr>
        <w:spacing w:before="0" w:line="360" w:lineRule="auto"/>
        <w:ind w:left="576"/>
        <w:jc w:val="right"/>
        <w:rPr>
          <w:rFonts w:ascii="Arial" w:eastAsia="Times New Roman" w:hAnsi="Arial" w:cs="Arial"/>
          <w:color w:val="000000" w:themeColor="text1"/>
          <w:kern w:val="32"/>
          <w:sz w:val="20"/>
          <w:szCs w:val="20"/>
          <w:lang w:eastAsia="ar-SA"/>
        </w:rPr>
      </w:pPr>
      <w:r w:rsidRPr="001D1B59">
        <w:rPr>
          <w:rFonts w:ascii="Arial" w:eastAsia="Times New Roman" w:hAnsi="Arial" w:cs="Arial"/>
          <w:color w:val="000000" w:themeColor="text1"/>
          <w:kern w:val="32"/>
          <w:sz w:val="20"/>
          <w:szCs w:val="20"/>
          <w:lang w:eastAsia="ar-SA"/>
        </w:rPr>
        <w:t>Załącznik nr 7c do Umowy Koncesji</w:t>
      </w:r>
    </w:p>
    <w:p w:rsidR="00CB7ABD" w:rsidRPr="001D1B59" w:rsidRDefault="00CB7ABD" w:rsidP="00CB7ABD">
      <w:pPr>
        <w:rPr>
          <w:rFonts w:ascii="Arial" w:hAnsi="Arial" w:cs="Arial"/>
          <w:sz w:val="20"/>
          <w:szCs w:val="20"/>
          <w:lang w:eastAsia="ar-SA"/>
        </w:rPr>
      </w:pPr>
    </w:p>
    <w:p w:rsidR="00CB7ABD" w:rsidRPr="001D1B59" w:rsidRDefault="00CB7ABD" w:rsidP="00CB7ABD">
      <w:pPr>
        <w:pStyle w:val="Style5"/>
        <w:widowControl/>
        <w:spacing w:before="115"/>
        <w:ind w:left="1416"/>
        <w:jc w:val="both"/>
        <w:rPr>
          <w:rStyle w:val="FontStyle19"/>
          <w:rFonts w:ascii="Arial" w:hAnsi="Arial" w:cs="Arial"/>
          <w:sz w:val="20"/>
          <w:szCs w:val="20"/>
        </w:rPr>
      </w:pPr>
    </w:p>
    <w:p w:rsidR="00CB7ABD" w:rsidRPr="001D1B59" w:rsidRDefault="00BC628B" w:rsidP="00BC628B">
      <w:pPr>
        <w:pStyle w:val="Style5"/>
        <w:widowControl/>
        <w:tabs>
          <w:tab w:val="left" w:pos="2205"/>
          <w:tab w:val="center" w:pos="4536"/>
        </w:tabs>
        <w:spacing w:before="115"/>
        <w:rPr>
          <w:rStyle w:val="FontStyle19"/>
          <w:rFonts w:ascii="Arial" w:hAnsi="Arial" w:cs="Arial"/>
          <w:b/>
          <w:sz w:val="22"/>
          <w:szCs w:val="22"/>
        </w:rPr>
      </w:pPr>
      <w:r w:rsidRPr="001D1B59">
        <w:rPr>
          <w:rStyle w:val="FontStyle19"/>
          <w:rFonts w:ascii="Arial" w:hAnsi="Arial" w:cs="Arial"/>
          <w:sz w:val="20"/>
          <w:szCs w:val="20"/>
        </w:rPr>
        <w:tab/>
      </w:r>
      <w:bookmarkStart w:id="0" w:name="_GoBack"/>
      <w:r w:rsidRPr="001D1B59">
        <w:rPr>
          <w:rStyle w:val="FontStyle19"/>
          <w:rFonts w:ascii="Arial" w:hAnsi="Arial" w:cs="Arial"/>
          <w:b/>
          <w:sz w:val="22"/>
          <w:szCs w:val="22"/>
        </w:rPr>
        <w:tab/>
      </w:r>
      <w:r w:rsidR="00CB7ABD" w:rsidRPr="001D1B59">
        <w:rPr>
          <w:rStyle w:val="FontStyle19"/>
          <w:rFonts w:ascii="Arial" w:hAnsi="Arial" w:cs="Arial"/>
          <w:b/>
          <w:sz w:val="22"/>
          <w:szCs w:val="22"/>
        </w:rPr>
        <w:t>OPIS PROCESU PŁATNOŚCI</w:t>
      </w:r>
    </w:p>
    <w:p w:rsidR="00CB7ABD" w:rsidRPr="001D1B59" w:rsidRDefault="00CB7ABD" w:rsidP="00CB7ABD">
      <w:pPr>
        <w:rPr>
          <w:rFonts w:ascii="Arial" w:hAnsi="Arial" w:cs="Arial"/>
          <w:lang w:eastAsia="ar-SA"/>
        </w:rPr>
      </w:pPr>
    </w:p>
    <w:bookmarkEnd w:id="0"/>
    <w:p w:rsidR="00CB7ABD" w:rsidRPr="001D1B59" w:rsidRDefault="00CB7ABD" w:rsidP="00CB7ABD">
      <w:pPr>
        <w:pStyle w:val="Style14"/>
        <w:widowControl/>
        <w:spacing w:before="53"/>
        <w:rPr>
          <w:rStyle w:val="FontStyle21"/>
          <w:rFonts w:ascii="Arial" w:hAnsi="Arial" w:cs="Arial"/>
          <w:b/>
          <w:sz w:val="20"/>
          <w:szCs w:val="20"/>
        </w:rPr>
      </w:pPr>
      <w:r w:rsidRPr="001D1B59">
        <w:rPr>
          <w:rStyle w:val="FontStyle21"/>
          <w:rFonts w:ascii="Arial" w:hAnsi="Arial" w:cs="Arial"/>
          <w:b/>
          <w:sz w:val="20"/>
          <w:szCs w:val="20"/>
        </w:rPr>
        <w:t>WSTĘP</w:t>
      </w:r>
    </w:p>
    <w:p w:rsidR="00CB7ABD" w:rsidRPr="001D1B59" w:rsidRDefault="00CB7ABD" w:rsidP="00CB7ABD">
      <w:pPr>
        <w:pStyle w:val="Style1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CB7ABD" w:rsidRPr="001D1B59" w:rsidRDefault="00CB7ABD" w:rsidP="00CB7ABD">
      <w:pPr>
        <w:pStyle w:val="Style13"/>
        <w:widowControl/>
        <w:spacing w:before="19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Niniejszy dokument opisuje przebieg procesu płatności widziany od strony osoby płacącej. Poniżej zostały przedstawione etapy procesu w odniesieniu do poszczególnych metod płatności.</w:t>
      </w:r>
    </w:p>
    <w:p w:rsidR="00BC628B" w:rsidRPr="001D1B59" w:rsidRDefault="00BC628B" w:rsidP="00CB7ABD">
      <w:pPr>
        <w:pStyle w:val="Style14"/>
        <w:widowControl/>
        <w:spacing w:before="53"/>
        <w:rPr>
          <w:rStyle w:val="FontStyle21"/>
          <w:rFonts w:ascii="Arial" w:hAnsi="Arial" w:cs="Arial"/>
          <w:sz w:val="20"/>
          <w:szCs w:val="20"/>
        </w:rPr>
      </w:pPr>
    </w:p>
    <w:p w:rsidR="00BC628B" w:rsidRPr="001D1B59" w:rsidRDefault="00BC628B" w:rsidP="00CB7ABD">
      <w:pPr>
        <w:pStyle w:val="Style14"/>
        <w:widowControl/>
        <w:spacing w:before="53"/>
        <w:rPr>
          <w:rStyle w:val="FontStyle21"/>
          <w:rFonts w:ascii="Arial" w:hAnsi="Arial" w:cs="Arial"/>
          <w:sz w:val="20"/>
          <w:szCs w:val="20"/>
        </w:rPr>
      </w:pPr>
    </w:p>
    <w:p w:rsidR="00CB7ABD" w:rsidRPr="001D1B59" w:rsidRDefault="00CB7ABD" w:rsidP="00CB7ABD">
      <w:pPr>
        <w:pStyle w:val="Style14"/>
        <w:widowControl/>
        <w:spacing w:before="53"/>
        <w:rPr>
          <w:rStyle w:val="FontStyle21"/>
          <w:rFonts w:ascii="Arial" w:hAnsi="Arial" w:cs="Arial"/>
          <w:b/>
          <w:sz w:val="20"/>
          <w:szCs w:val="20"/>
        </w:rPr>
      </w:pPr>
      <w:r w:rsidRPr="001D1B59">
        <w:rPr>
          <w:rStyle w:val="FontStyle21"/>
          <w:rFonts w:ascii="Arial" w:hAnsi="Arial" w:cs="Arial"/>
          <w:b/>
          <w:sz w:val="20"/>
          <w:szCs w:val="20"/>
        </w:rPr>
        <w:t>I. PŁATNOŚĆ KARTĄ</w:t>
      </w:r>
    </w:p>
    <w:p w:rsidR="00CB7ABD" w:rsidRPr="001D1B59" w:rsidRDefault="00CB7ABD" w:rsidP="00CB7ABD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CB7ABD" w:rsidRPr="001D1B59" w:rsidRDefault="00CB7ABD" w:rsidP="00CB7ABD">
      <w:pPr>
        <w:pStyle w:val="Style9"/>
        <w:widowControl/>
        <w:spacing w:before="19" w:line="283" w:lineRule="exact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Punktem wyjścia jest moment, w którym Użytkownik zakończył składanie zamówienia i na etapie wyboru metody płatności wybrał kartę płatniczą.</w:t>
      </w:r>
    </w:p>
    <w:p w:rsidR="00CB7ABD" w:rsidRPr="001D1B59" w:rsidRDefault="00556F57" w:rsidP="00556F57">
      <w:pPr>
        <w:pStyle w:val="Style12"/>
        <w:widowControl/>
        <w:spacing w:before="29" w:line="442" w:lineRule="exact"/>
        <w:ind w:left="284" w:hanging="284"/>
        <w:jc w:val="left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1.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>Użytkownik zostaje przekierowany do formularza danych karty płatniczej i podaje:</w:t>
      </w:r>
    </w:p>
    <w:p w:rsidR="00CB7ABD" w:rsidRPr="001D1B59" w:rsidRDefault="00CB7ABD" w:rsidP="00556F57">
      <w:pPr>
        <w:pStyle w:val="Style7"/>
        <w:widowControl/>
        <w:numPr>
          <w:ilvl w:val="0"/>
          <w:numId w:val="5"/>
        </w:numPr>
        <w:tabs>
          <w:tab w:val="left" w:pos="1608"/>
        </w:tabs>
        <w:spacing w:after="120"/>
        <w:ind w:left="284"/>
        <w:contextualSpacing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numer karty (bez spacji)</w:t>
      </w:r>
    </w:p>
    <w:p w:rsidR="00CB7ABD" w:rsidRPr="001D1B59" w:rsidRDefault="00CB7ABD" w:rsidP="00556F57">
      <w:pPr>
        <w:pStyle w:val="Style7"/>
        <w:widowControl/>
        <w:numPr>
          <w:ilvl w:val="0"/>
          <w:numId w:val="5"/>
        </w:numPr>
        <w:tabs>
          <w:tab w:val="left" w:pos="1608"/>
        </w:tabs>
        <w:spacing w:after="120"/>
        <w:ind w:left="284"/>
        <w:contextualSpacing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datę ważności karty (miesiąc / rok)</w:t>
      </w:r>
    </w:p>
    <w:p w:rsidR="00CB7ABD" w:rsidRPr="001D1B59" w:rsidRDefault="00CB7ABD" w:rsidP="00556F57">
      <w:pPr>
        <w:pStyle w:val="Style7"/>
        <w:widowControl/>
        <w:numPr>
          <w:ilvl w:val="0"/>
          <w:numId w:val="5"/>
        </w:numPr>
        <w:tabs>
          <w:tab w:val="left" w:pos="1608"/>
        </w:tabs>
        <w:spacing w:after="120"/>
        <w:ind w:left="284"/>
        <w:contextualSpacing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kod CVC/CW2</w:t>
      </w:r>
    </w:p>
    <w:p w:rsidR="00CB7ABD" w:rsidRPr="001D1B59" w:rsidRDefault="00556F57" w:rsidP="00556F57">
      <w:pPr>
        <w:pStyle w:val="Style12"/>
        <w:widowControl/>
        <w:spacing w:before="125" w:line="278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2.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Jeżeli karta użyta do płatności jest zapisana do programu 3D </w:t>
      </w:r>
      <w:proofErr w:type="spellStart"/>
      <w:r w:rsidR="00CB7ABD" w:rsidRPr="001D1B59">
        <w:rPr>
          <w:rStyle w:val="FontStyle22"/>
          <w:rFonts w:ascii="Arial" w:hAnsi="Arial" w:cs="Arial"/>
          <w:sz w:val="20"/>
          <w:szCs w:val="20"/>
        </w:rPr>
        <w:t>Secure</w:t>
      </w:r>
      <w:proofErr w:type="spellEnd"/>
      <w:r w:rsidR="00CB7ABD" w:rsidRPr="001D1B59">
        <w:rPr>
          <w:rStyle w:val="FontStyle22"/>
          <w:rFonts w:ascii="Arial" w:hAnsi="Arial" w:cs="Arial"/>
          <w:sz w:val="20"/>
          <w:szCs w:val="20"/>
        </w:rPr>
        <w:t>, użytkownik zostanie poproszony o podanie odpowiedniego hasła / kodu itp. (w zależności od rozwiązan</w:t>
      </w:r>
      <w:r w:rsidR="00C87A55" w:rsidRPr="001D1B59">
        <w:rPr>
          <w:rStyle w:val="FontStyle22"/>
          <w:rFonts w:ascii="Arial" w:hAnsi="Arial" w:cs="Arial"/>
          <w:sz w:val="20"/>
          <w:szCs w:val="20"/>
        </w:rPr>
        <w:t>i</w:t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a zastosowanego przez bank - wydawcę karty). Jeżeli karta nie uczestniczy w programie 3D </w:t>
      </w:r>
      <w:proofErr w:type="spellStart"/>
      <w:r w:rsidR="00CB7ABD" w:rsidRPr="001D1B59">
        <w:rPr>
          <w:rStyle w:val="FontStyle22"/>
          <w:rFonts w:ascii="Arial" w:hAnsi="Arial" w:cs="Arial"/>
          <w:sz w:val="20"/>
          <w:szCs w:val="20"/>
        </w:rPr>
        <w:t>Secure</w:t>
      </w:r>
      <w:proofErr w:type="spellEnd"/>
      <w:r w:rsidR="00CB7ABD" w:rsidRPr="001D1B59">
        <w:rPr>
          <w:rStyle w:val="FontStyle22"/>
          <w:rFonts w:ascii="Arial" w:hAnsi="Arial" w:cs="Arial"/>
          <w:sz w:val="20"/>
          <w:szCs w:val="20"/>
        </w:rPr>
        <w:t>, ten krok zostanie pominięty.</w:t>
      </w:r>
    </w:p>
    <w:p w:rsidR="00CB7ABD" w:rsidRPr="001D1B59" w:rsidRDefault="00EF445D" w:rsidP="00EF445D">
      <w:pPr>
        <w:pStyle w:val="Style12"/>
        <w:widowControl/>
        <w:spacing w:before="154" w:line="283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3.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Po przesłaniu danych karty i ewentualnej autentykacji 3D </w:t>
      </w:r>
      <w:proofErr w:type="spellStart"/>
      <w:r w:rsidR="00CB7ABD" w:rsidRPr="001D1B59">
        <w:rPr>
          <w:rStyle w:val="FontStyle22"/>
          <w:rFonts w:ascii="Arial" w:hAnsi="Arial" w:cs="Arial"/>
          <w:sz w:val="20"/>
          <w:szCs w:val="20"/>
        </w:rPr>
        <w:t>Secure</w:t>
      </w:r>
      <w:proofErr w:type="spellEnd"/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 użytkownik oczekuje na wynik autoryzacji płatności. Czas oczekiwania wynosi zwykle kilkanaście - kilkadziesiąt sekund.</w:t>
      </w:r>
    </w:p>
    <w:p w:rsidR="00CB7ABD" w:rsidRPr="001D1B59" w:rsidRDefault="00EF445D" w:rsidP="00EF445D">
      <w:pPr>
        <w:pStyle w:val="Style12"/>
        <w:widowControl/>
        <w:spacing w:before="154" w:line="283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4.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>Wynik autoryzacji jest prezentowany Użytkownikowi. Wynik pozytywny oznacza, że płatność została autoryzowana, rachunek karty zostanie obciążony kwotą płatności. Wynik negatywny oznacza, że płatność nie uzyskała autoryzacji - rachunek karty nie zostanie obciążony.</w:t>
      </w:r>
    </w:p>
    <w:p w:rsidR="00CB7ABD" w:rsidRPr="001D1B59" w:rsidRDefault="00EF445D" w:rsidP="00EF445D">
      <w:pPr>
        <w:pStyle w:val="Style12"/>
        <w:widowControl/>
        <w:spacing w:before="154" w:line="283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5.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Użytkownik </w:t>
      </w:r>
      <w:r w:rsidR="000A0396" w:rsidRPr="001D1B59">
        <w:rPr>
          <w:rStyle w:val="FontStyle22"/>
          <w:rFonts w:ascii="Arial" w:hAnsi="Arial" w:cs="Arial"/>
          <w:sz w:val="20"/>
          <w:szCs w:val="20"/>
        </w:rPr>
        <w:t>zostaje przekierowany do</w:t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  strony </w:t>
      </w:r>
      <w:r w:rsidR="001921D1" w:rsidRPr="001D1B59">
        <w:rPr>
          <w:rFonts w:ascii="Arial" w:hAnsi="Arial" w:cs="Arial"/>
          <w:sz w:val="20"/>
          <w:szCs w:val="20"/>
        </w:rPr>
        <w:t xml:space="preserve"> </w:t>
      </w:r>
      <w:r w:rsidR="0062752B" w:rsidRPr="001D1B59">
        <w:rPr>
          <w:rFonts w:ascii="Arial" w:hAnsi="Arial" w:cs="Arial"/>
          <w:sz w:val="20"/>
          <w:szCs w:val="20"/>
        </w:rPr>
        <w:t>K</w:t>
      </w:r>
      <w:r w:rsidR="001921D1" w:rsidRPr="001D1B59">
        <w:rPr>
          <w:rFonts w:ascii="Arial" w:hAnsi="Arial" w:cs="Arial"/>
          <w:sz w:val="20"/>
          <w:szCs w:val="20"/>
        </w:rPr>
        <w:t>oncesjonariusza</w:t>
      </w:r>
      <w:r w:rsidR="00614CBF" w:rsidRPr="001D1B59">
        <w:rPr>
          <w:rFonts w:ascii="Arial" w:hAnsi="Arial" w:cs="Arial"/>
          <w:sz w:val="20"/>
          <w:szCs w:val="20"/>
        </w:rPr>
        <w:t>.</w:t>
      </w:r>
    </w:p>
    <w:p w:rsidR="00EF445D" w:rsidRPr="001D1B59" w:rsidRDefault="00EF445D" w:rsidP="00EF445D">
      <w:pPr>
        <w:pStyle w:val="Style12"/>
        <w:widowControl/>
        <w:spacing w:before="154" w:line="283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br w:type="page"/>
      </w:r>
    </w:p>
    <w:p w:rsidR="00CB7ABD" w:rsidRPr="001D1B59" w:rsidRDefault="00CB7ABD" w:rsidP="00DA0143">
      <w:pPr>
        <w:pStyle w:val="Style8"/>
        <w:widowControl/>
        <w:spacing w:before="53"/>
        <w:ind w:left="284" w:hanging="284"/>
        <w:rPr>
          <w:rStyle w:val="FontStyle24"/>
          <w:rFonts w:ascii="Arial" w:hAnsi="Arial" w:cs="Arial"/>
          <w:b/>
          <w:sz w:val="20"/>
          <w:szCs w:val="20"/>
        </w:rPr>
      </w:pPr>
      <w:bookmarkStart w:id="1" w:name="bookmark0"/>
      <w:r w:rsidRPr="001D1B59">
        <w:rPr>
          <w:rStyle w:val="FontStyle24"/>
          <w:rFonts w:ascii="Arial" w:hAnsi="Arial" w:cs="Arial"/>
          <w:b/>
          <w:sz w:val="20"/>
          <w:szCs w:val="20"/>
        </w:rPr>
        <w:lastRenderedPageBreak/>
        <w:t>I</w:t>
      </w:r>
      <w:bookmarkEnd w:id="1"/>
      <w:r w:rsidRPr="001D1B59">
        <w:rPr>
          <w:rStyle w:val="FontStyle24"/>
          <w:rFonts w:ascii="Arial" w:hAnsi="Arial" w:cs="Arial"/>
          <w:b/>
          <w:sz w:val="20"/>
          <w:szCs w:val="20"/>
        </w:rPr>
        <w:t>I. PŁATNOŚĆ PRZELEWEM PAY BY LINK</w:t>
      </w:r>
      <w:r w:rsidR="004A5CD8" w:rsidRPr="001D1B59">
        <w:rPr>
          <w:rStyle w:val="FontStyle24"/>
          <w:rFonts w:ascii="Arial" w:hAnsi="Arial" w:cs="Arial"/>
          <w:b/>
          <w:sz w:val="20"/>
          <w:szCs w:val="20"/>
        </w:rPr>
        <w:t xml:space="preserve"> ORAZ PŁATNOŚCI MOBILNYCH </w:t>
      </w:r>
    </w:p>
    <w:p w:rsidR="00CB7ABD" w:rsidRPr="001D1B59" w:rsidRDefault="00CB7ABD" w:rsidP="00CB7ABD">
      <w:pPr>
        <w:pStyle w:val="Style9"/>
        <w:widowControl/>
        <w:spacing w:line="240" w:lineRule="exact"/>
        <w:ind w:left="240"/>
        <w:rPr>
          <w:rFonts w:ascii="Arial" w:hAnsi="Arial" w:cs="Arial"/>
          <w:sz w:val="20"/>
          <w:szCs w:val="20"/>
        </w:rPr>
      </w:pPr>
    </w:p>
    <w:p w:rsidR="00CB7ABD" w:rsidRPr="001D1B59" w:rsidRDefault="00CB7ABD" w:rsidP="00706D65">
      <w:pPr>
        <w:pStyle w:val="Style9"/>
        <w:widowControl/>
        <w:spacing w:before="19" w:line="283" w:lineRule="exact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Punktem wyjścia jest moment, w którym Użytkownik zakończył składanie zamówienia i na etapie wyboru metody płatności wybrał przelew z banku</w:t>
      </w:r>
      <w:r w:rsidR="00EC0C11" w:rsidRPr="001D1B59">
        <w:rPr>
          <w:rStyle w:val="FontStyle22"/>
          <w:rFonts w:ascii="Arial" w:hAnsi="Arial" w:cs="Arial"/>
          <w:sz w:val="20"/>
          <w:szCs w:val="20"/>
        </w:rPr>
        <w:t xml:space="preserve"> lub innych dostawców usług płatniczych w rozumieniu ustawy o usługach płatniczych,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 xml:space="preserve"> </w:t>
      </w:r>
      <w:r w:rsidRPr="001D1B59">
        <w:rPr>
          <w:rStyle w:val="FontStyle22"/>
          <w:rFonts w:ascii="Arial" w:hAnsi="Arial" w:cs="Arial"/>
          <w:sz w:val="20"/>
          <w:szCs w:val="20"/>
        </w:rPr>
        <w:t>w którym posiada rachunek.</w:t>
      </w:r>
    </w:p>
    <w:p w:rsidR="00CB7ABD" w:rsidRPr="001D1B59" w:rsidRDefault="00DA0143" w:rsidP="00DA0143">
      <w:pPr>
        <w:pStyle w:val="Style12"/>
        <w:widowControl/>
        <w:spacing w:before="216" w:line="240" w:lineRule="auto"/>
        <w:ind w:left="284" w:hanging="284"/>
        <w:jc w:val="left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 xml:space="preserve">1. 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>Użytkownik zostaje przekierowany do strony logowania systemu bankowości internetowej</w:t>
      </w:r>
      <w:r w:rsidR="00885C95" w:rsidRPr="001D1B59">
        <w:rPr>
          <w:rStyle w:val="FontStyle22"/>
          <w:rFonts w:ascii="Arial" w:hAnsi="Arial" w:cs="Arial"/>
          <w:sz w:val="20"/>
          <w:szCs w:val="20"/>
        </w:rPr>
        <w:t xml:space="preserve"> banku podmiotu prowadzącego rachunek płatniczy</w:t>
      </w:r>
      <w:r w:rsidR="00E3740F" w:rsidRPr="001D1B59">
        <w:rPr>
          <w:rStyle w:val="FontStyle22"/>
          <w:rFonts w:ascii="Arial" w:hAnsi="Arial" w:cs="Arial"/>
          <w:sz w:val="20"/>
          <w:szCs w:val="20"/>
        </w:rPr>
        <w:t xml:space="preserve"> 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>U</w:t>
      </w:r>
      <w:r w:rsidR="00885C95" w:rsidRPr="001D1B59">
        <w:rPr>
          <w:rStyle w:val="FontStyle22"/>
          <w:rFonts w:ascii="Arial" w:hAnsi="Arial" w:cs="Arial"/>
          <w:sz w:val="20"/>
          <w:szCs w:val="20"/>
        </w:rPr>
        <w:t xml:space="preserve">żytkownika. Dane do autoryzacji 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>U</w:t>
      </w:r>
      <w:r w:rsidR="00885C95" w:rsidRPr="001D1B59">
        <w:rPr>
          <w:rStyle w:val="FontStyle22"/>
          <w:rFonts w:ascii="Arial" w:hAnsi="Arial" w:cs="Arial"/>
          <w:sz w:val="20"/>
          <w:szCs w:val="20"/>
        </w:rPr>
        <w:t xml:space="preserve">żytkownika podawane są bezpośrednio na stronie banku 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>U</w:t>
      </w:r>
      <w:r w:rsidR="00885C95" w:rsidRPr="001D1B59">
        <w:rPr>
          <w:rStyle w:val="FontStyle22"/>
          <w:rFonts w:ascii="Arial" w:hAnsi="Arial" w:cs="Arial"/>
          <w:sz w:val="20"/>
          <w:szCs w:val="20"/>
        </w:rPr>
        <w:t>żytkownika.</w:t>
      </w:r>
    </w:p>
    <w:p w:rsidR="00CB7ABD" w:rsidRPr="001D1B59" w:rsidRDefault="00DA0143" w:rsidP="00DA0143">
      <w:pPr>
        <w:pStyle w:val="Style12"/>
        <w:widowControl/>
        <w:spacing w:before="216" w:line="240" w:lineRule="auto"/>
        <w:ind w:left="284" w:hanging="284"/>
        <w:jc w:val="left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2.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>Po zalogowaniu prezentowany jest formularz dyspozycji przelewu z danymi wypełnionymi zgodnie z zamówieniem.</w:t>
      </w:r>
    </w:p>
    <w:p w:rsidR="00CB7ABD" w:rsidRPr="001D1B59" w:rsidRDefault="00CB7ABD" w:rsidP="00DA0143">
      <w:pPr>
        <w:pStyle w:val="Style9"/>
        <w:widowControl/>
        <w:spacing w:before="163" w:line="278" w:lineRule="exact"/>
        <w:ind w:left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b/>
          <w:sz w:val="20"/>
          <w:szCs w:val="20"/>
        </w:rPr>
        <w:t>Uwaga:</w:t>
      </w:r>
      <w:r w:rsidRPr="001D1B59">
        <w:rPr>
          <w:rStyle w:val="FontStyle22"/>
          <w:rFonts w:ascii="Arial" w:hAnsi="Arial" w:cs="Arial"/>
          <w:sz w:val="20"/>
          <w:szCs w:val="20"/>
        </w:rPr>
        <w:t xml:space="preserve"> Użytkownik nie powinien </w:t>
      </w:r>
      <w:r w:rsidR="00DE480A" w:rsidRPr="001D1B59">
        <w:rPr>
          <w:rStyle w:val="FontStyle22"/>
          <w:rFonts w:ascii="Arial" w:hAnsi="Arial" w:cs="Arial"/>
          <w:sz w:val="20"/>
          <w:szCs w:val="20"/>
        </w:rPr>
        <w:t>mieć możliwości z</w:t>
      </w:r>
      <w:r w:rsidRPr="001D1B59">
        <w:rPr>
          <w:rStyle w:val="FontStyle22"/>
          <w:rFonts w:ascii="Arial" w:hAnsi="Arial" w:cs="Arial"/>
          <w:sz w:val="20"/>
          <w:szCs w:val="20"/>
        </w:rPr>
        <w:t>modyfikowa</w:t>
      </w:r>
      <w:r w:rsidR="00DE480A" w:rsidRPr="001D1B59">
        <w:rPr>
          <w:rStyle w:val="FontStyle22"/>
          <w:rFonts w:ascii="Arial" w:hAnsi="Arial" w:cs="Arial"/>
          <w:sz w:val="20"/>
          <w:szCs w:val="20"/>
        </w:rPr>
        <w:t>nia</w:t>
      </w:r>
      <w:r w:rsidRPr="001D1B59">
        <w:rPr>
          <w:rStyle w:val="FontStyle22"/>
          <w:rFonts w:ascii="Arial" w:hAnsi="Arial" w:cs="Arial"/>
          <w:sz w:val="20"/>
          <w:szCs w:val="20"/>
        </w:rPr>
        <w:t xml:space="preserve"> tych danych, w szczególności numeru rachunku odbiorcy, tytułu i kwoty przelewu. (Niektóre banki dopuszczają dopisanie dodatkowej treści tytułu przelewu, jednak bez możliwości modyfikacji istniejącej treści).</w:t>
      </w:r>
    </w:p>
    <w:p w:rsidR="00CB7ABD" w:rsidRPr="001D1B59" w:rsidRDefault="00CB7ABD" w:rsidP="00052EB8">
      <w:pPr>
        <w:pStyle w:val="Style12"/>
        <w:widowControl/>
        <w:numPr>
          <w:ilvl w:val="0"/>
          <w:numId w:val="11"/>
        </w:numPr>
        <w:spacing w:before="154" w:line="283" w:lineRule="exact"/>
        <w:ind w:left="284" w:hanging="284"/>
        <w:jc w:val="left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Użytkownik zatwierdza dyspozycję przelewu w sposób wynikający z umowy zawartej</w:t>
      </w:r>
      <w:r w:rsidR="00052EB8" w:rsidRPr="001D1B59">
        <w:rPr>
          <w:rStyle w:val="FontStyle22"/>
          <w:rFonts w:ascii="Arial" w:hAnsi="Arial" w:cs="Arial"/>
          <w:sz w:val="20"/>
          <w:szCs w:val="20"/>
        </w:rPr>
        <w:t xml:space="preserve"> </w:t>
      </w:r>
      <w:r w:rsidRPr="001D1B59">
        <w:rPr>
          <w:rStyle w:val="FontStyle22"/>
          <w:rFonts w:ascii="Arial" w:hAnsi="Arial" w:cs="Arial"/>
          <w:sz w:val="20"/>
          <w:szCs w:val="20"/>
        </w:rPr>
        <w:t xml:space="preserve">z bankiem (np. kodem </w:t>
      </w:r>
      <w:r w:rsidR="00E7601E" w:rsidRPr="001D1B59">
        <w:rPr>
          <w:rStyle w:val="FontStyle22"/>
          <w:rFonts w:ascii="Arial" w:hAnsi="Arial" w:cs="Arial"/>
          <w:sz w:val="20"/>
          <w:szCs w:val="20"/>
        </w:rPr>
        <w:t xml:space="preserve">otrzymanym za pomocą </w:t>
      </w:r>
      <w:r w:rsidRPr="001D1B59">
        <w:rPr>
          <w:rStyle w:val="FontStyle22"/>
          <w:rFonts w:ascii="Arial" w:hAnsi="Arial" w:cs="Arial"/>
          <w:sz w:val="20"/>
          <w:szCs w:val="20"/>
        </w:rPr>
        <w:t xml:space="preserve">sms, „zdrapką", </w:t>
      </w:r>
      <w:proofErr w:type="spellStart"/>
      <w:r w:rsidRPr="001D1B59">
        <w:rPr>
          <w:rStyle w:val="FontStyle22"/>
          <w:rFonts w:ascii="Arial" w:hAnsi="Arial" w:cs="Arial"/>
          <w:sz w:val="20"/>
          <w:szCs w:val="20"/>
        </w:rPr>
        <w:t>tokenem</w:t>
      </w:r>
      <w:proofErr w:type="spellEnd"/>
      <w:r w:rsidRPr="001D1B59">
        <w:rPr>
          <w:rStyle w:val="FontStyle22"/>
          <w:rFonts w:ascii="Arial" w:hAnsi="Arial" w:cs="Arial"/>
          <w:sz w:val="20"/>
          <w:szCs w:val="20"/>
        </w:rPr>
        <w:t xml:space="preserve"> </w:t>
      </w:r>
      <w:proofErr w:type="spellStart"/>
      <w:r w:rsidRPr="001D1B59">
        <w:rPr>
          <w:rStyle w:val="FontStyle22"/>
          <w:rFonts w:ascii="Arial" w:hAnsi="Arial" w:cs="Arial"/>
          <w:sz w:val="20"/>
          <w:szCs w:val="20"/>
        </w:rPr>
        <w:t>itp</w:t>
      </w:r>
      <w:proofErr w:type="spellEnd"/>
      <w:r w:rsidRPr="001D1B59">
        <w:rPr>
          <w:rStyle w:val="FontStyle22"/>
          <w:rFonts w:ascii="Arial" w:hAnsi="Arial" w:cs="Arial"/>
          <w:sz w:val="20"/>
          <w:szCs w:val="20"/>
        </w:rPr>
        <w:t>).</w:t>
      </w:r>
    </w:p>
    <w:p w:rsidR="00CB7ABD" w:rsidRPr="001D1B59" w:rsidRDefault="00CB7ABD" w:rsidP="00052EB8">
      <w:pPr>
        <w:pStyle w:val="Style9"/>
        <w:widowControl/>
        <w:spacing w:before="154" w:line="283" w:lineRule="exact"/>
        <w:ind w:left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b/>
          <w:sz w:val="20"/>
          <w:szCs w:val="20"/>
        </w:rPr>
        <w:t>Uwaga:</w:t>
      </w:r>
      <w:r w:rsidRPr="001D1B59">
        <w:rPr>
          <w:rStyle w:val="FontStyle22"/>
          <w:rFonts w:ascii="Arial" w:hAnsi="Arial" w:cs="Arial"/>
          <w:sz w:val="20"/>
          <w:szCs w:val="20"/>
        </w:rPr>
        <w:t xml:space="preserve"> Jeżeli bieżące saldo rachunku (z uwzględnieniem ewentualnego dopuszczalnego debetu) jest mniejsze niż kwota płatności, zatwierdzenie przelewu będzie niemożliwe i proces zakończy się.</w:t>
      </w:r>
    </w:p>
    <w:p w:rsidR="00CB7ABD" w:rsidRPr="001D1B59" w:rsidRDefault="00052EB8" w:rsidP="00052EB8">
      <w:pPr>
        <w:pStyle w:val="Style9"/>
        <w:widowControl/>
        <w:spacing w:before="154" w:line="283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4.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393532" w:rsidRPr="001D1B59">
        <w:rPr>
          <w:rStyle w:val="FontStyle22"/>
          <w:rFonts w:ascii="Arial" w:hAnsi="Arial" w:cs="Arial"/>
          <w:sz w:val="20"/>
          <w:szCs w:val="20"/>
        </w:rPr>
        <w:t>K</w:t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>omunikat potwierdzający wysłanie przelewu oraz przyci</w:t>
      </w:r>
      <w:r w:rsidR="00393532" w:rsidRPr="001D1B59">
        <w:rPr>
          <w:rStyle w:val="FontStyle22"/>
          <w:rFonts w:ascii="Arial" w:hAnsi="Arial" w:cs="Arial"/>
          <w:sz w:val="20"/>
          <w:szCs w:val="20"/>
        </w:rPr>
        <w:t xml:space="preserve">sk powrotu do strony 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>K</w:t>
      </w:r>
      <w:r w:rsidR="000A0396" w:rsidRPr="001D1B59">
        <w:rPr>
          <w:rStyle w:val="FontStyle22"/>
          <w:rFonts w:ascii="Arial" w:hAnsi="Arial" w:cs="Arial"/>
          <w:sz w:val="20"/>
          <w:szCs w:val="20"/>
        </w:rPr>
        <w:t xml:space="preserve">oncesjonariusza  </w:t>
      </w:r>
      <w:r w:rsidR="00393532" w:rsidRPr="001D1B59">
        <w:rPr>
          <w:rStyle w:val="FontStyle22"/>
          <w:rFonts w:ascii="Arial" w:hAnsi="Arial" w:cs="Arial"/>
          <w:sz w:val="20"/>
          <w:szCs w:val="20"/>
        </w:rPr>
        <w:t>prezentowany jest (w różnej formie zależnie od bank</w:t>
      </w:r>
      <w:r w:rsidR="000A0396" w:rsidRPr="001D1B59">
        <w:rPr>
          <w:rStyle w:val="FontStyle22"/>
          <w:rFonts w:ascii="Arial" w:hAnsi="Arial" w:cs="Arial"/>
          <w:sz w:val="20"/>
          <w:szCs w:val="20"/>
        </w:rPr>
        <w:t xml:space="preserve">)  lub powrót do strony 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>K</w:t>
      </w:r>
      <w:r w:rsidR="009D2426" w:rsidRPr="001D1B59">
        <w:rPr>
          <w:rStyle w:val="FontStyle22"/>
          <w:rFonts w:ascii="Arial" w:hAnsi="Arial" w:cs="Arial"/>
          <w:sz w:val="20"/>
          <w:szCs w:val="20"/>
        </w:rPr>
        <w:t>oncesjonariusza</w:t>
      </w:r>
      <w:r w:rsidR="000A0396" w:rsidRPr="001D1B59">
        <w:rPr>
          <w:rStyle w:val="FontStyle22"/>
          <w:rFonts w:ascii="Arial" w:hAnsi="Arial" w:cs="Arial"/>
          <w:sz w:val="20"/>
          <w:szCs w:val="20"/>
        </w:rPr>
        <w:t xml:space="preserve"> może być zrealizowany automatyczne </w:t>
      </w:r>
      <w:r w:rsidR="00393532" w:rsidRPr="001D1B59">
        <w:rPr>
          <w:rStyle w:val="FontStyle22"/>
          <w:rFonts w:ascii="Arial" w:hAnsi="Arial" w:cs="Arial"/>
          <w:sz w:val="20"/>
          <w:szCs w:val="20"/>
        </w:rPr>
        <w:t>)</w:t>
      </w:r>
      <w:r w:rsidR="003D6EFD" w:rsidRPr="001D1B59">
        <w:rPr>
          <w:rStyle w:val="FontStyle22"/>
          <w:rFonts w:ascii="Arial" w:hAnsi="Arial" w:cs="Arial"/>
          <w:sz w:val="20"/>
          <w:szCs w:val="20"/>
        </w:rPr>
        <w:t>.</w:t>
      </w:r>
    </w:p>
    <w:p w:rsidR="00CB7ABD" w:rsidRPr="001D1B59" w:rsidRDefault="00CB7ABD" w:rsidP="003D6EFD">
      <w:pPr>
        <w:pStyle w:val="Style9"/>
        <w:widowControl/>
        <w:spacing w:before="154" w:line="283" w:lineRule="exact"/>
        <w:ind w:left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b/>
          <w:sz w:val="20"/>
          <w:szCs w:val="20"/>
        </w:rPr>
        <w:t>Uwaga:</w:t>
      </w:r>
      <w:r w:rsidRPr="001D1B59">
        <w:rPr>
          <w:rStyle w:val="FontStyle22"/>
          <w:rFonts w:ascii="Arial" w:hAnsi="Arial" w:cs="Arial"/>
          <w:sz w:val="20"/>
          <w:szCs w:val="20"/>
        </w:rPr>
        <w:t xml:space="preserve"> Zamknięcie okna przeglądarki na tym etapie może spowodować zakłócenie procesu i opóźnienie rozliczenia. Stanowczo zaleca się, aby Użytkownik nie zamykał okna lecz korzystał z przycisku powrotu.</w:t>
      </w:r>
    </w:p>
    <w:p w:rsidR="00CB7ABD" w:rsidRPr="001D1B59" w:rsidRDefault="00573E1A" w:rsidP="00573E1A">
      <w:pPr>
        <w:pStyle w:val="Style9"/>
        <w:widowControl/>
        <w:spacing w:before="154" w:line="283" w:lineRule="exact"/>
        <w:ind w:left="284" w:hanging="284"/>
        <w:rPr>
          <w:rStyle w:val="FontStyle22"/>
          <w:rFonts w:ascii="Arial" w:hAnsi="Arial" w:cs="Arial"/>
          <w:sz w:val="20"/>
          <w:szCs w:val="20"/>
        </w:rPr>
      </w:pPr>
      <w:r w:rsidRPr="001D1B59">
        <w:rPr>
          <w:rStyle w:val="FontStyle22"/>
          <w:rFonts w:ascii="Arial" w:hAnsi="Arial" w:cs="Arial"/>
          <w:sz w:val="20"/>
          <w:szCs w:val="20"/>
        </w:rPr>
        <w:t>5.</w:t>
      </w:r>
      <w:r w:rsidRPr="001D1B59">
        <w:rPr>
          <w:rStyle w:val="FontStyle22"/>
          <w:rFonts w:ascii="Arial" w:hAnsi="Arial" w:cs="Arial"/>
          <w:sz w:val="20"/>
          <w:szCs w:val="20"/>
        </w:rPr>
        <w:tab/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Użytkownik  </w:t>
      </w:r>
      <w:r w:rsidR="000A0396" w:rsidRPr="001D1B59">
        <w:rPr>
          <w:rStyle w:val="FontStyle22"/>
          <w:rFonts w:ascii="Arial" w:hAnsi="Arial" w:cs="Arial"/>
          <w:sz w:val="20"/>
          <w:szCs w:val="20"/>
        </w:rPr>
        <w:t xml:space="preserve">zostaje przekierowany do </w:t>
      </w:r>
      <w:r w:rsidR="00CB7ABD" w:rsidRPr="001D1B59">
        <w:rPr>
          <w:rStyle w:val="FontStyle22"/>
          <w:rFonts w:ascii="Arial" w:hAnsi="Arial" w:cs="Arial"/>
          <w:sz w:val="20"/>
          <w:szCs w:val="20"/>
        </w:rPr>
        <w:t xml:space="preserve"> strony </w:t>
      </w:r>
      <w:r w:rsidR="00ED1F02" w:rsidRPr="001D1B59">
        <w:rPr>
          <w:rStyle w:val="FontStyle22"/>
          <w:rFonts w:ascii="Arial" w:hAnsi="Arial" w:cs="Arial"/>
          <w:sz w:val="20"/>
          <w:szCs w:val="20"/>
        </w:rPr>
        <w:t>K</w:t>
      </w:r>
      <w:r w:rsidR="00DE480A" w:rsidRPr="001D1B59">
        <w:rPr>
          <w:rStyle w:val="FontStyle22"/>
          <w:rFonts w:ascii="Arial" w:hAnsi="Arial" w:cs="Arial"/>
          <w:sz w:val="20"/>
          <w:szCs w:val="20"/>
        </w:rPr>
        <w:t>oncesjonariusza</w:t>
      </w:r>
      <w:r w:rsidR="00B56932" w:rsidRPr="001D1B59">
        <w:rPr>
          <w:rStyle w:val="FontStyle22"/>
          <w:rFonts w:ascii="Arial" w:hAnsi="Arial" w:cs="Arial"/>
          <w:sz w:val="20"/>
          <w:szCs w:val="20"/>
        </w:rPr>
        <w:t>.</w:t>
      </w:r>
      <w:r w:rsidR="00DE480A" w:rsidRPr="001D1B59">
        <w:rPr>
          <w:rStyle w:val="FontStyle22"/>
          <w:rFonts w:ascii="Arial" w:hAnsi="Arial" w:cs="Arial"/>
          <w:sz w:val="20"/>
          <w:szCs w:val="20"/>
        </w:rPr>
        <w:t xml:space="preserve"> </w:t>
      </w:r>
      <w:r w:rsidR="00ED1F02" w:rsidRPr="001D1B59" w:rsidDel="00ED1F02">
        <w:rPr>
          <w:rStyle w:val="FontStyle22"/>
          <w:rFonts w:ascii="Arial" w:hAnsi="Arial" w:cs="Arial"/>
          <w:sz w:val="20"/>
          <w:szCs w:val="20"/>
        </w:rPr>
        <w:t xml:space="preserve"> </w:t>
      </w:r>
    </w:p>
    <w:p w:rsidR="00CB7ABD" w:rsidRPr="001D1B59" w:rsidRDefault="00CB7ABD" w:rsidP="00E3740F">
      <w:pPr>
        <w:pStyle w:val="Style9"/>
        <w:widowControl/>
        <w:spacing w:before="154" w:line="283" w:lineRule="exact"/>
        <w:ind w:left="284" w:hanging="284"/>
        <w:rPr>
          <w:rFonts w:ascii="Arial" w:hAnsi="Arial" w:cs="Arial"/>
          <w:sz w:val="20"/>
          <w:szCs w:val="20"/>
        </w:rPr>
      </w:pPr>
    </w:p>
    <w:sectPr w:rsidR="00CB7ABD" w:rsidRPr="001D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 Lola 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46A1A0"/>
    <w:lvl w:ilvl="0">
      <w:numFmt w:val="bullet"/>
      <w:lvlText w:val="*"/>
      <w:lvlJc w:val="left"/>
    </w:lvl>
  </w:abstractNum>
  <w:abstractNum w:abstractNumId="1">
    <w:nsid w:val="1CFD5967"/>
    <w:multiLevelType w:val="singleLevel"/>
    <w:tmpl w:val="0546B864"/>
    <w:lvl w:ilvl="0">
      <w:start w:val="4"/>
      <w:numFmt w:val="decimal"/>
      <w:lvlText w:val="%1."/>
      <w:legacy w:legacy="1" w:legacySpace="0" w:legacyIndent="360"/>
      <w:lvlJc w:val="left"/>
      <w:rPr>
        <w:rFonts w:ascii="Segoe UI" w:hAnsi="Segoe UI" w:cs="Segoe UI" w:hint="default"/>
      </w:rPr>
    </w:lvl>
  </w:abstractNum>
  <w:abstractNum w:abstractNumId="2">
    <w:nsid w:val="1EC92D52"/>
    <w:multiLevelType w:val="hybridMultilevel"/>
    <w:tmpl w:val="C4D018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DCE"/>
    <w:multiLevelType w:val="singleLevel"/>
    <w:tmpl w:val="44DE621C"/>
    <w:lvl w:ilvl="0">
      <w:start w:val="5"/>
      <w:numFmt w:val="decimal"/>
      <w:lvlText w:val="%1."/>
      <w:legacy w:legacy="1" w:legacySpace="0" w:legacyIndent="360"/>
      <w:lvlJc w:val="left"/>
      <w:rPr>
        <w:rFonts w:ascii="Segoe UI" w:hAnsi="Segoe UI" w:cs="Segoe UI" w:hint="default"/>
      </w:rPr>
    </w:lvl>
  </w:abstractNum>
  <w:abstractNum w:abstractNumId="4">
    <w:nsid w:val="37FE3A7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AE93EAC"/>
    <w:multiLevelType w:val="hybridMultilevel"/>
    <w:tmpl w:val="D812CB3C"/>
    <w:lvl w:ilvl="0" w:tplc="02664CB2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6790E"/>
    <w:multiLevelType w:val="singleLevel"/>
    <w:tmpl w:val="BA141ABE"/>
    <w:lvl w:ilvl="0">
      <w:start w:val="1"/>
      <w:numFmt w:val="decimal"/>
      <w:lvlText w:val="%1."/>
      <w:legacy w:legacy="1" w:legacySpace="0" w:legacyIndent="336"/>
      <w:lvlJc w:val="left"/>
      <w:rPr>
        <w:rFonts w:ascii="Segoe UI" w:hAnsi="Segoe UI" w:cs="Segoe UI" w:hint="default"/>
      </w:rPr>
    </w:lvl>
  </w:abstractNum>
  <w:abstractNum w:abstractNumId="7">
    <w:nsid w:val="67767913"/>
    <w:multiLevelType w:val="singleLevel"/>
    <w:tmpl w:val="5B66D93A"/>
    <w:lvl w:ilvl="0">
      <w:start w:val="1"/>
      <w:numFmt w:val="decimal"/>
      <w:lvlText w:val="%1."/>
      <w:legacy w:legacy="1" w:legacySpace="0" w:legacyIndent="360"/>
      <w:lvlJc w:val="left"/>
      <w:rPr>
        <w:rFonts w:ascii="Segoe UI" w:hAnsi="Segoe UI" w:cs="Segoe UI" w:hint="default"/>
      </w:rPr>
    </w:lvl>
  </w:abstractNum>
  <w:abstractNum w:abstractNumId="8">
    <w:nsid w:val="69AE1561"/>
    <w:multiLevelType w:val="singleLevel"/>
    <w:tmpl w:val="7DFA68E6"/>
    <w:lvl w:ilvl="0">
      <w:start w:val="1"/>
      <w:numFmt w:val="upperRoman"/>
      <w:lvlText w:val="%1."/>
      <w:legacy w:legacy="1" w:legacySpace="0" w:legacyIndent="164"/>
      <w:lvlJc w:val="left"/>
      <w:rPr>
        <w:rFonts w:ascii="Segoe UI" w:hAnsi="Segoe UI" w:cs="Segoe UI" w:hint="default"/>
      </w:rPr>
    </w:lvl>
  </w:abstractNum>
  <w:abstractNum w:abstractNumId="9">
    <w:nsid w:val="7BC749AE"/>
    <w:multiLevelType w:val="singleLevel"/>
    <w:tmpl w:val="B944168E"/>
    <w:lvl w:ilvl="0">
      <w:start w:val="2"/>
      <w:numFmt w:val="decimal"/>
      <w:lvlText w:val="%1."/>
      <w:legacy w:legacy="1" w:legacySpace="0" w:legacyIndent="336"/>
      <w:lvlJc w:val="left"/>
      <w:rPr>
        <w:rFonts w:ascii="Segoe UI" w:hAnsi="Segoe UI" w:cs="Segoe UI" w:hint="default"/>
      </w:rPr>
    </w:lvl>
  </w:abstractNum>
  <w:abstractNum w:abstractNumId="10">
    <w:nsid w:val="7FF231EE"/>
    <w:multiLevelType w:val="singleLevel"/>
    <w:tmpl w:val="43E6250A"/>
    <w:lvl w:ilvl="0">
      <w:start w:val="3"/>
      <w:numFmt w:val="decimal"/>
      <w:lvlText w:val="%1."/>
      <w:legacy w:legacy="1" w:legacySpace="0" w:legacyIndent="360"/>
      <w:lvlJc w:val="left"/>
      <w:rPr>
        <w:rFonts w:ascii="Segoe UI" w:hAnsi="Segoe UI" w:cs="Segoe UI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Segoe UI" w:hAnsi="Segoe UI" w:cs="Segoe UI" w:hint="default"/>
        </w:rPr>
      </w:lvl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D"/>
    <w:rsid w:val="00052EB8"/>
    <w:rsid w:val="000A0396"/>
    <w:rsid w:val="000E2FDF"/>
    <w:rsid w:val="001921D1"/>
    <w:rsid w:val="001D1B59"/>
    <w:rsid w:val="001D6124"/>
    <w:rsid w:val="0028168C"/>
    <w:rsid w:val="00393532"/>
    <w:rsid w:val="003D6EFD"/>
    <w:rsid w:val="004A5CD8"/>
    <w:rsid w:val="0051204B"/>
    <w:rsid w:val="00554A87"/>
    <w:rsid w:val="00556F57"/>
    <w:rsid w:val="00573E1A"/>
    <w:rsid w:val="00614CBF"/>
    <w:rsid w:val="0062752B"/>
    <w:rsid w:val="00706D65"/>
    <w:rsid w:val="0078118A"/>
    <w:rsid w:val="00835129"/>
    <w:rsid w:val="00885C95"/>
    <w:rsid w:val="009D2426"/>
    <w:rsid w:val="00B56932"/>
    <w:rsid w:val="00B6501D"/>
    <w:rsid w:val="00BC628B"/>
    <w:rsid w:val="00C4589C"/>
    <w:rsid w:val="00C87A55"/>
    <w:rsid w:val="00CA10CF"/>
    <w:rsid w:val="00CB7ABD"/>
    <w:rsid w:val="00D64834"/>
    <w:rsid w:val="00DA0143"/>
    <w:rsid w:val="00DE480A"/>
    <w:rsid w:val="00E3740F"/>
    <w:rsid w:val="00E7601E"/>
    <w:rsid w:val="00EC0C11"/>
    <w:rsid w:val="00ED0804"/>
    <w:rsid w:val="00ED1F02"/>
    <w:rsid w:val="00E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7AB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AB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AB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A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A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A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A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A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A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7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7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A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AB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A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A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5">
    <w:name w:val="Style5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CB7ABD"/>
    <w:rPr>
      <w:rFonts w:ascii="Segoe UI" w:hAnsi="Segoe UI" w:cs="Segoe UI"/>
      <w:sz w:val="30"/>
      <w:szCs w:val="30"/>
    </w:rPr>
  </w:style>
  <w:style w:type="paragraph" w:customStyle="1" w:styleId="Style11">
    <w:name w:val="Style11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B7ABD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CB7ABD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82" w:lineRule="exact"/>
      <w:ind w:hanging="336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83" w:lineRule="exact"/>
      <w:ind w:firstLine="456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CB7ABD"/>
    <w:rPr>
      <w:rFonts w:ascii="Segoe UI" w:hAnsi="Segoe UI" w:cs="Segoe UI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CB7ABD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CB7ABD"/>
    <w:rPr>
      <w:rFonts w:ascii="Segoe UI" w:hAnsi="Segoe UI" w:cs="Segoe U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F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5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54A87"/>
    <w:rPr>
      <w:rFonts w:ascii="FS Lola Bold" w:hAnsi="FS Lola Bold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7AB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AB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AB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A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A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A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A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A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A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7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7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A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AB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A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A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5">
    <w:name w:val="Style5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CB7ABD"/>
    <w:rPr>
      <w:rFonts w:ascii="Segoe UI" w:hAnsi="Segoe UI" w:cs="Segoe UI"/>
      <w:sz w:val="30"/>
      <w:szCs w:val="30"/>
    </w:rPr>
  </w:style>
  <w:style w:type="paragraph" w:customStyle="1" w:styleId="Style11">
    <w:name w:val="Style11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B7ABD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CB7ABD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82" w:lineRule="exact"/>
      <w:ind w:hanging="336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83" w:lineRule="exact"/>
      <w:ind w:firstLine="456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7AB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CB7ABD"/>
    <w:rPr>
      <w:rFonts w:ascii="Segoe UI" w:hAnsi="Segoe UI" w:cs="Segoe UI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CB7ABD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CB7ABD"/>
    <w:rPr>
      <w:rFonts w:ascii="Segoe UI" w:hAnsi="Segoe UI" w:cs="Segoe U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F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5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54A87"/>
    <w:rPr>
      <w:rFonts w:ascii="FS Lola Bold" w:hAnsi="FS Lola Bold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4F58-776B-4CAE-AA5C-35ABE75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Małgorzata  (DIRS)</dc:creator>
  <cp:lastModifiedBy>Filipek Małgorzata  (DIRS)</cp:lastModifiedBy>
  <cp:revision>17</cp:revision>
  <cp:lastPrinted>2017-11-14T08:46:00Z</cp:lastPrinted>
  <dcterms:created xsi:type="dcterms:W3CDTF">2017-11-14T14:57:00Z</dcterms:created>
  <dcterms:modified xsi:type="dcterms:W3CDTF">2017-11-17T12:55:00Z</dcterms:modified>
</cp:coreProperties>
</file>